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0" w:rsidRPr="0097411B" w:rsidRDefault="008D7D8B" w:rsidP="008D7D8B">
      <w:pPr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97411B">
        <w:rPr>
          <w:rFonts w:ascii="Nirmala UI" w:hAnsi="Nirmala UI" w:cs="Nirmala UI"/>
          <w:b/>
          <w:bCs/>
          <w:sz w:val="28"/>
          <w:szCs w:val="28"/>
          <w:u w:val="single"/>
          <w:cs/>
        </w:rPr>
        <w:t xml:space="preserve">वैश्विक निवेशक भागीदारी को सुदृढ़ करना: आईआईएफसीएल </w:t>
      </w:r>
      <w:r w:rsidRPr="0097411B">
        <w:rPr>
          <w:rFonts w:ascii="Nirmala UI" w:hAnsi="Nirmala UI" w:cs="Nirmala UI"/>
          <w:b/>
          <w:bCs/>
          <w:sz w:val="28"/>
          <w:szCs w:val="28"/>
          <w:u w:val="single"/>
        </w:rPr>
        <w:t xml:space="preserve"> </w:t>
      </w:r>
      <w:r w:rsidRPr="0097411B">
        <w:rPr>
          <w:rFonts w:ascii="Nirmala UI" w:hAnsi="Nirmala UI" w:cs="Nirmala UI"/>
          <w:b/>
          <w:bCs/>
          <w:sz w:val="28"/>
          <w:szCs w:val="28"/>
          <w:u w:val="single"/>
          <w:cs/>
        </w:rPr>
        <w:t>ने टोक्यो में जेबीआईसी(</w:t>
      </w:r>
      <w:r w:rsidRPr="0097411B">
        <w:rPr>
          <w:rFonts w:ascii="Nirmala UI" w:hAnsi="Nirmala UI" w:cs="Nirmala UI"/>
          <w:b/>
          <w:bCs/>
          <w:sz w:val="28"/>
          <w:szCs w:val="28"/>
          <w:u w:val="single"/>
        </w:rPr>
        <w:t xml:space="preserve">JBIC)  </w:t>
      </w:r>
      <w:r w:rsidRPr="0097411B">
        <w:rPr>
          <w:rFonts w:ascii="Nirmala UI" w:hAnsi="Nirmala UI" w:cs="Nirmala UI"/>
          <w:b/>
          <w:bCs/>
          <w:sz w:val="28"/>
          <w:szCs w:val="28"/>
          <w:u w:val="single"/>
          <w:cs/>
        </w:rPr>
        <w:t>से मुलाकात की</w:t>
      </w:r>
    </w:p>
    <w:p w:rsidR="00057A01" w:rsidRDefault="00057A01" w:rsidP="00057A0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057A01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5731510" cy="25838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6-24 at 11.08.09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7D8B" w:rsidRPr="008D7D8B" w:rsidRDefault="008D7D8B" w:rsidP="008D7D8B">
      <w:pPr>
        <w:rPr>
          <w:rFonts w:ascii="Times New Roman" w:hAnsi="Times New Roman" w:cstheme="minorBidi"/>
          <w:b/>
          <w:bCs/>
          <w:sz w:val="28"/>
          <w:szCs w:val="28"/>
        </w:rPr>
      </w:pPr>
    </w:p>
    <w:p w:rsidR="008D7D8B" w:rsidRPr="0097411B" w:rsidRDefault="008D7D8B" w:rsidP="008D7D8B">
      <w:pPr>
        <w:spacing w:after="0" w:line="240" w:lineRule="auto"/>
        <w:jc w:val="both"/>
        <w:rPr>
          <w:rFonts w:ascii="Nirmala UI" w:hAnsi="Nirmala UI" w:cs="Nirmala UI"/>
          <w:b/>
          <w:bCs/>
          <w:sz w:val="28"/>
          <w:szCs w:val="28"/>
        </w:rPr>
      </w:pPr>
      <w:r w:rsidRPr="0097411B">
        <w:rPr>
          <w:rFonts w:ascii="Nirmala UI" w:hAnsi="Nirmala UI" w:cs="Nirmala UI"/>
          <w:sz w:val="28"/>
          <w:szCs w:val="28"/>
          <w:cs/>
        </w:rPr>
        <w:t>16 बिलियन जापानी येन (16 बिलियन जापानी येन के अतिरिक्त ग्रीन शू विकल्प के साथ) की बाह्य वाणिज्यिक उधारी(</w:t>
      </w:r>
      <w:r w:rsidRPr="0097411B">
        <w:rPr>
          <w:rFonts w:ascii="Nirmala UI" w:hAnsi="Nirmala UI" w:cs="Nirmala UI"/>
          <w:sz w:val="28"/>
          <w:szCs w:val="28"/>
        </w:rPr>
        <w:t xml:space="preserve">ECB) </w:t>
      </w:r>
      <w:r w:rsidRPr="0097411B">
        <w:rPr>
          <w:rFonts w:ascii="Nirmala UI" w:hAnsi="Nirmala UI" w:cs="Nirmala UI"/>
          <w:sz w:val="28"/>
          <w:szCs w:val="28"/>
          <w:cs/>
        </w:rPr>
        <w:t>जुटाने की अपनी रणनीतिक पहल के तहत</w:t>
      </w:r>
      <w:r w:rsidRPr="0097411B">
        <w:rPr>
          <w:rFonts w:ascii="Nirmala UI" w:hAnsi="Nirmala UI" w:cs="Nirmala UI"/>
          <w:cs/>
        </w:rPr>
        <w:t xml:space="preserve"> </w:t>
      </w:r>
      <w:r w:rsidRPr="0097411B">
        <w:rPr>
          <w:rFonts w:ascii="Nirmala UI" w:hAnsi="Nirmala UI" w:cs="Nirmala UI"/>
          <w:sz w:val="28"/>
          <w:szCs w:val="28"/>
          <w:cs/>
        </w:rPr>
        <w:t>आईआईएफसीएल की जापान की आधिकारिक यात्रा के हिस्से के रूप में</w:t>
      </w:r>
      <w:r w:rsidRPr="0097411B">
        <w:rPr>
          <w:rFonts w:ascii="Nirmala UI" w:hAnsi="Nirmala UI" w:cs="Nirmala UI"/>
          <w:cs/>
        </w:rPr>
        <w:t xml:space="preserve"> </w:t>
      </w:r>
      <w:r w:rsidRPr="0097411B">
        <w:rPr>
          <w:rFonts w:ascii="Nirmala UI" w:hAnsi="Nirmala UI" w:cs="Nirmala UI"/>
          <w:b/>
          <w:bCs/>
          <w:sz w:val="28"/>
          <w:szCs w:val="28"/>
          <w:cs/>
        </w:rPr>
        <w:t>आईआईएफसीएल</w:t>
      </w:r>
      <w:r w:rsidRPr="0097411B">
        <w:rPr>
          <w:rFonts w:ascii="Nirmala UI" w:hAnsi="Nirmala UI" w:cs="Nirmala UI"/>
          <w:b/>
          <w:bCs/>
          <w:sz w:val="28"/>
          <w:szCs w:val="28"/>
        </w:rPr>
        <w:t xml:space="preserve">, </w:t>
      </w:r>
      <w:r w:rsidRPr="0097411B">
        <w:rPr>
          <w:rFonts w:ascii="Nirmala UI" w:hAnsi="Nirmala UI" w:cs="Nirmala UI"/>
          <w:b/>
          <w:bCs/>
          <w:sz w:val="28"/>
          <w:szCs w:val="28"/>
          <w:cs/>
        </w:rPr>
        <w:t>के उप प्रबंध निदेशक श्री पलाश श्रीवास्तव और भारत सरकार के वित्तीय सेवा विभाग (</w:t>
      </w:r>
      <w:r w:rsidRPr="0097411B">
        <w:rPr>
          <w:rFonts w:ascii="Nirmala UI" w:hAnsi="Nirmala UI" w:cs="Nirmala UI"/>
          <w:b/>
          <w:bCs/>
          <w:sz w:val="28"/>
          <w:szCs w:val="28"/>
        </w:rPr>
        <w:t xml:space="preserve">DFS) </w:t>
      </w:r>
      <w:r w:rsidRPr="0097411B">
        <w:rPr>
          <w:rFonts w:ascii="Nirmala UI" w:hAnsi="Nirmala UI" w:cs="Nirmala UI"/>
          <w:b/>
          <w:bCs/>
          <w:sz w:val="28"/>
          <w:szCs w:val="28"/>
          <w:cs/>
        </w:rPr>
        <w:t>की उप महानिदेशक सुश्री एम. जी. जयश्री के नेतृत्व में एक उच्च स्तरीय प्रतिनिधिमंडल ने 25 जून 2025 को टोक्यो में जापान बैंक फॉर इंटरनेशनल कोऑपरेशन (</w:t>
      </w:r>
      <w:r w:rsidRPr="0097411B">
        <w:rPr>
          <w:rFonts w:ascii="Nirmala UI" w:hAnsi="Nirmala UI" w:cs="Nirmala UI"/>
          <w:b/>
          <w:bCs/>
          <w:sz w:val="28"/>
          <w:szCs w:val="28"/>
        </w:rPr>
        <w:t xml:space="preserve">JBIC) </w:t>
      </w:r>
      <w:r w:rsidRPr="0097411B">
        <w:rPr>
          <w:rFonts w:ascii="Nirmala UI" w:hAnsi="Nirmala UI" w:cs="Nirmala UI"/>
          <w:b/>
          <w:bCs/>
          <w:sz w:val="28"/>
          <w:szCs w:val="28"/>
          <w:cs/>
        </w:rPr>
        <w:t>के महानिदेशक श्री सातोशी इकेहारा से मुलाकात की।</w:t>
      </w:r>
    </w:p>
    <w:p w:rsidR="008D7D8B" w:rsidRPr="0097411B" w:rsidRDefault="008D7D8B" w:rsidP="008D7D8B">
      <w:pPr>
        <w:rPr>
          <w:rFonts w:ascii="Nirmala UI" w:hAnsi="Nirmala UI" w:cs="Nirmala UI"/>
          <w:b/>
          <w:bCs/>
          <w:sz w:val="28"/>
          <w:szCs w:val="28"/>
        </w:rPr>
      </w:pPr>
    </w:p>
    <w:p w:rsidR="008D7D8B" w:rsidRPr="0097411B" w:rsidRDefault="008D7D8B" w:rsidP="00767EBF">
      <w:pPr>
        <w:jc w:val="both"/>
        <w:rPr>
          <w:rFonts w:ascii="Nirmala UI" w:hAnsi="Nirmala UI" w:cs="Nirmala UI"/>
          <w:sz w:val="28"/>
          <w:szCs w:val="28"/>
        </w:rPr>
      </w:pPr>
      <w:r w:rsidRPr="0097411B">
        <w:rPr>
          <w:rFonts w:ascii="Nirmala UI" w:hAnsi="Nirmala UI" w:cs="Nirmala UI"/>
          <w:b/>
          <w:bCs/>
          <w:sz w:val="28"/>
          <w:szCs w:val="28"/>
          <w:cs/>
        </w:rPr>
        <w:t>सुमितोमो मित्सुई बैंकिंग कॉरपोरेशन (</w:t>
      </w:r>
      <w:r w:rsidRPr="0097411B">
        <w:rPr>
          <w:rFonts w:ascii="Nirmala UI" w:hAnsi="Nirmala UI" w:cs="Nirmala UI"/>
          <w:b/>
          <w:bCs/>
          <w:sz w:val="28"/>
          <w:szCs w:val="28"/>
        </w:rPr>
        <w:t>SMBC</w:t>
      </w:r>
      <w:r w:rsidRPr="0097411B">
        <w:rPr>
          <w:rFonts w:ascii="Nirmala UI" w:hAnsi="Nirmala UI" w:cs="Nirmala UI"/>
          <w:sz w:val="28"/>
          <w:szCs w:val="28"/>
        </w:rPr>
        <w:t xml:space="preserve">) </w:t>
      </w:r>
      <w:r w:rsidRPr="0097411B">
        <w:rPr>
          <w:rFonts w:ascii="Nirmala UI" w:hAnsi="Nirmala UI" w:cs="Nirmala UI"/>
          <w:sz w:val="28"/>
          <w:szCs w:val="28"/>
          <w:cs/>
        </w:rPr>
        <w:t xml:space="preserve">द्वारा आयोजित इस बैठक ने एक प्रतिष्ठित जापानी वित्तीय संस्थान के साथ </w:t>
      </w:r>
      <w:r w:rsidR="00767EBF" w:rsidRPr="0097411B">
        <w:rPr>
          <w:rFonts w:ascii="Nirmala UI" w:hAnsi="Nirmala UI" w:cs="Nirmala UI"/>
          <w:sz w:val="28"/>
          <w:szCs w:val="28"/>
          <w:cs/>
        </w:rPr>
        <w:t>व्‍यवसाय</w:t>
      </w:r>
      <w:r w:rsidRPr="0097411B">
        <w:rPr>
          <w:rFonts w:ascii="Nirmala UI" w:hAnsi="Nirmala UI" w:cs="Nirmala UI"/>
          <w:sz w:val="28"/>
          <w:szCs w:val="28"/>
          <w:cs/>
        </w:rPr>
        <w:t xml:space="preserve"> के लिए एक मूल्यवान मंच प्रदान किया और</w:t>
      </w:r>
      <w:r w:rsidR="008563B9" w:rsidRPr="0097411B">
        <w:rPr>
          <w:rFonts w:ascii="Nirmala UI" w:hAnsi="Nirmala UI" w:cs="Nirmala UI"/>
          <w:sz w:val="28"/>
          <w:szCs w:val="28"/>
          <w:cs/>
        </w:rPr>
        <w:t xml:space="preserve"> यह</w:t>
      </w:r>
      <w:r w:rsidRPr="0097411B">
        <w:rPr>
          <w:rFonts w:ascii="Nirmala UI" w:hAnsi="Nirmala UI" w:cs="Nirmala UI"/>
          <w:sz w:val="28"/>
          <w:szCs w:val="28"/>
          <w:cs/>
        </w:rPr>
        <w:t xml:space="preserve"> बुनियादी ढांचे के वित्तपोषण में वैश्विक साझेदारी को बढ़ावा देने के लिए </w:t>
      </w:r>
      <w:r w:rsidR="00767EBF" w:rsidRPr="0097411B">
        <w:rPr>
          <w:rFonts w:ascii="Nirmala UI" w:hAnsi="Nirmala UI" w:cs="Nirmala UI"/>
          <w:sz w:val="28"/>
          <w:szCs w:val="28"/>
          <w:cs/>
        </w:rPr>
        <w:t xml:space="preserve">आईआईएफसीएल </w:t>
      </w:r>
      <w:r w:rsidRPr="0097411B">
        <w:rPr>
          <w:rFonts w:ascii="Nirmala UI" w:hAnsi="Nirmala UI" w:cs="Nirmala UI"/>
          <w:sz w:val="28"/>
          <w:szCs w:val="28"/>
        </w:rPr>
        <w:t xml:space="preserve"> </w:t>
      </w:r>
      <w:r w:rsidRPr="0097411B">
        <w:rPr>
          <w:rFonts w:ascii="Nirmala UI" w:hAnsi="Nirmala UI" w:cs="Nirmala UI"/>
          <w:sz w:val="28"/>
          <w:szCs w:val="28"/>
          <w:cs/>
        </w:rPr>
        <w:t>की प्रतिबद्धता को दर्शाता है।</w:t>
      </w:r>
    </w:p>
    <w:p w:rsidR="00236EAD" w:rsidRPr="00057A01" w:rsidRDefault="00186310" w:rsidP="00057A01">
      <w:pPr>
        <w:rPr>
          <w:rFonts w:ascii="Times New Roman" w:hAnsi="Times New Roman" w:cs="Times New Roman"/>
          <w:sz w:val="28"/>
          <w:szCs w:val="28"/>
        </w:rPr>
      </w:pPr>
    </w:p>
    <w:sectPr w:rsidR="00236EAD" w:rsidRPr="0005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10" w:rsidRDefault="00186310" w:rsidP="008D7D8B">
      <w:pPr>
        <w:spacing w:after="0" w:line="240" w:lineRule="auto"/>
      </w:pPr>
      <w:r>
        <w:separator/>
      </w:r>
    </w:p>
  </w:endnote>
  <w:endnote w:type="continuationSeparator" w:id="0">
    <w:p w:rsidR="00186310" w:rsidRDefault="00186310" w:rsidP="008D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10" w:rsidRDefault="00186310" w:rsidP="008D7D8B">
      <w:pPr>
        <w:spacing w:after="0" w:line="240" w:lineRule="auto"/>
      </w:pPr>
      <w:r>
        <w:separator/>
      </w:r>
    </w:p>
  </w:footnote>
  <w:footnote w:type="continuationSeparator" w:id="0">
    <w:p w:rsidR="00186310" w:rsidRDefault="00186310" w:rsidP="008D7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01"/>
    <w:rsid w:val="00057A01"/>
    <w:rsid w:val="00186310"/>
    <w:rsid w:val="005246AA"/>
    <w:rsid w:val="00767EBF"/>
    <w:rsid w:val="008563B9"/>
    <w:rsid w:val="008D7D8B"/>
    <w:rsid w:val="0097411B"/>
    <w:rsid w:val="00A52651"/>
    <w:rsid w:val="00BC26BE"/>
    <w:rsid w:val="00E63010"/>
    <w:rsid w:val="00F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3219"/>
  <w15:docId w15:val="{82552CFE-D181-4EE8-B0F2-EFEA068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8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8B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8D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8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D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8B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Tyagi</dc:creator>
  <cp:keywords/>
  <dc:description/>
  <cp:lastModifiedBy>Bhavya Tyagi</cp:lastModifiedBy>
  <cp:revision>4</cp:revision>
  <dcterms:created xsi:type="dcterms:W3CDTF">2025-06-24T06:10:00Z</dcterms:created>
  <dcterms:modified xsi:type="dcterms:W3CDTF">2025-06-25T12:06:00Z</dcterms:modified>
</cp:coreProperties>
</file>