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85" w:rsidRPr="00A54E0D" w:rsidRDefault="00E61B85" w:rsidP="00A54E0D">
      <w:pPr>
        <w:ind w:right="77"/>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                                                              </w:t>
      </w:r>
      <w:r w:rsidRPr="00A54E0D">
        <w:rPr>
          <w:rFonts w:ascii="Arial Unicode MS" w:eastAsia="Arial Unicode MS" w:hAnsi="Arial Unicode MS" w:cs="Arial Unicode MS"/>
          <w:b/>
          <w:bCs/>
          <w:sz w:val="22"/>
          <w:szCs w:val="22"/>
        </w:rPr>
        <w:t>Public disclosure on liquidity risk</w:t>
      </w:r>
    </w:p>
    <w:p w:rsidR="00E61B85" w:rsidRPr="00E61B85"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Funding Concentration based on significant counterparty</w:t>
      </w:r>
      <w:r>
        <w:rPr>
          <w:rFonts w:ascii="Arial Unicode MS" w:eastAsia="Arial Unicode MS" w:hAnsi="Arial Unicode MS" w:cs="Arial Unicode MS"/>
          <w:sz w:val="20"/>
          <w:szCs w:val="20"/>
        </w:rPr>
        <w:t xml:space="preserve"> (both deposits and borrowings)</w:t>
      </w:r>
    </w:p>
    <w:tbl>
      <w:tblPr>
        <w:tblStyle w:val="TableGrid"/>
        <w:tblW w:w="0" w:type="auto"/>
        <w:tblInd w:w="720" w:type="dxa"/>
        <w:tblLook w:val="04A0" w:firstRow="1" w:lastRow="0" w:firstColumn="1" w:lastColumn="0" w:noHBand="0" w:noVBand="1"/>
      </w:tblPr>
      <w:tblGrid>
        <w:gridCol w:w="947"/>
        <w:gridCol w:w="2622"/>
        <w:gridCol w:w="1540"/>
        <w:gridCol w:w="1570"/>
        <w:gridCol w:w="1617"/>
      </w:tblGrid>
      <w:tr w:rsidR="00E61B85" w:rsidRPr="00E43310" w:rsidTr="0085098E">
        <w:trPr>
          <w:trHeight w:val="1031"/>
        </w:trPr>
        <w:tc>
          <w:tcPr>
            <w:tcW w:w="948" w:type="dxa"/>
          </w:tcPr>
          <w:p w:rsidR="00E61B85" w:rsidRPr="00E43310" w:rsidRDefault="00E61B85" w:rsidP="0085098E">
            <w:pPr>
              <w:pStyle w:val="Default"/>
              <w:rPr>
                <w:rFonts w:ascii="Arial Unicode MS" w:eastAsia="Arial Unicode MS" w:hAnsi="Arial Unicode MS" w:cs="Arial Unicode MS"/>
                <w:b/>
                <w:bCs/>
                <w:color w:val="auto"/>
                <w:sz w:val="20"/>
                <w:szCs w:val="20"/>
              </w:rPr>
            </w:pPr>
            <w:r w:rsidRPr="00E43310">
              <w:rPr>
                <w:rFonts w:ascii="Arial Unicode MS" w:eastAsia="Arial Unicode MS" w:hAnsi="Arial Unicode MS" w:cs="Arial Unicode MS"/>
                <w:b/>
                <w:bCs/>
                <w:color w:val="auto"/>
                <w:sz w:val="20"/>
                <w:szCs w:val="20"/>
              </w:rPr>
              <w:t xml:space="preserve">Sr. No. </w:t>
            </w:r>
          </w:p>
          <w:p w:rsidR="00E61B85" w:rsidRPr="00E43310" w:rsidRDefault="00E61B85" w:rsidP="0085098E">
            <w:pPr>
              <w:pStyle w:val="Default"/>
              <w:rPr>
                <w:rFonts w:ascii="Arial Unicode MS" w:eastAsia="Arial Unicode MS" w:hAnsi="Arial Unicode MS" w:cs="Arial Unicode MS"/>
                <w:b/>
                <w:bCs/>
                <w:color w:val="auto"/>
                <w:sz w:val="20"/>
                <w:szCs w:val="20"/>
              </w:rPr>
            </w:pPr>
          </w:p>
        </w:tc>
        <w:tc>
          <w:tcPr>
            <w:tcW w:w="2624" w:type="dxa"/>
          </w:tcPr>
          <w:p w:rsidR="00E61B85" w:rsidRPr="00E43310" w:rsidRDefault="00E61B85" w:rsidP="0085098E">
            <w:pPr>
              <w:pStyle w:val="Default"/>
              <w:rPr>
                <w:rFonts w:ascii="Arial Unicode MS" w:eastAsia="Arial Unicode MS" w:hAnsi="Arial Unicode MS" w:cs="Arial Unicode MS"/>
                <w:b/>
                <w:bCs/>
                <w:color w:val="auto"/>
                <w:sz w:val="20"/>
                <w:szCs w:val="20"/>
              </w:rPr>
            </w:pPr>
            <w:r w:rsidRPr="00E43310">
              <w:rPr>
                <w:rFonts w:ascii="Arial Unicode MS" w:eastAsia="Arial Unicode MS" w:hAnsi="Arial Unicode MS" w:cs="Arial Unicode MS"/>
                <w:b/>
                <w:bCs/>
                <w:color w:val="auto"/>
                <w:sz w:val="20"/>
                <w:szCs w:val="20"/>
              </w:rPr>
              <w:t xml:space="preserve">Number of Significant Counterparties </w:t>
            </w:r>
          </w:p>
          <w:p w:rsidR="00E61B85" w:rsidRPr="00E43310" w:rsidRDefault="00E61B85" w:rsidP="0085098E">
            <w:pPr>
              <w:pStyle w:val="Default"/>
              <w:rPr>
                <w:rFonts w:ascii="Arial Unicode MS" w:eastAsia="Arial Unicode MS" w:hAnsi="Arial Unicode MS" w:cs="Arial Unicode MS"/>
                <w:b/>
                <w:bCs/>
                <w:color w:val="auto"/>
                <w:sz w:val="20"/>
                <w:szCs w:val="20"/>
              </w:rPr>
            </w:pPr>
          </w:p>
        </w:tc>
        <w:tc>
          <w:tcPr>
            <w:tcW w:w="1540" w:type="dxa"/>
          </w:tcPr>
          <w:p w:rsidR="00E61B85" w:rsidRPr="00E43310" w:rsidRDefault="00E61B85" w:rsidP="0085098E">
            <w:pPr>
              <w:pStyle w:val="Default"/>
              <w:rPr>
                <w:rFonts w:ascii="Arial Unicode MS" w:eastAsia="Arial Unicode MS" w:hAnsi="Arial Unicode MS" w:cs="Arial Unicode MS"/>
                <w:b/>
                <w:bCs/>
                <w:color w:val="auto"/>
                <w:sz w:val="20"/>
                <w:szCs w:val="20"/>
              </w:rPr>
            </w:pPr>
            <w:r w:rsidRPr="00E43310">
              <w:rPr>
                <w:rFonts w:ascii="Arial Unicode MS" w:eastAsia="Arial Unicode MS" w:hAnsi="Arial Unicode MS" w:cs="Arial Unicode MS"/>
                <w:b/>
                <w:bCs/>
                <w:color w:val="auto"/>
                <w:sz w:val="20"/>
                <w:szCs w:val="20"/>
              </w:rPr>
              <w:t>Amount (</w:t>
            </w:r>
            <w:r w:rsidRPr="00E43310">
              <w:rPr>
                <w:rFonts w:eastAsia="Arial Unicode MS"/>
                <w:b/>
                <w:bCs/>
                <w:color w:val="auto"/>
                <w:sz w:val="20"/>
                <w:szCs w:val="20"/>
              </w:rPr>
              <w:t>₹</w:t>
            </w:r>
            <w:r w:rsidRPr="00E43310">
              <w:rPr>
                <w:rFonts w:ascii="Arial Unicode MS" w:eastAsia="Arial Unicode MS" w:hAnsi="Arial Unicode MS" w:cs="Arial Unicode MS"/>
                <w:b/>
                <w:bCs/>
                <w:color w:val="auto"/>
                <w:sz w:val="20"/>
                <w:szCs w:val="20"/>
              </w:rPr>
              <w:t xml:space="preserve"> </w:t>
            </w:r>
            <w:r>
              <w:rPr>
                <w:rFonts w:ascii="Arial Unicode MS" w:eastAsia="Arial Unicode MS" w:hAnsi="Arial Unicode MS" w:cs="Arial Unicode MS"/>
                <w:b/>
                <w:bCs/>
                <w:color w:val="auto"/>
                <w:sz w:val="20"/>
                <w:szCs w:val="20"/>
              </w:rPr>
              <w:t>lac</w:t>
            </w:r>
            <w:r w:rsidRPr="00E43310">
              <w:rPr>
                <w:rFonts w:ascii="Arial Unicode MS" w:eastAsia="Arial Unicode MS" w:hAnsi="Arial Unicode MS" w:cs="Arial Unicode MS"/>
                <w:b/>
                <w:bCs/>
                <w:color w:val="auto"/>
                <w:sz w:val="20"/>
                <w:szCs w:val="20"/>
              </w:rPr>
              <w:t xml:space="preserve">) </w:t>
            </w:r>
          </w:p>
          <w:p w:rsidR="00E61B85" w:rsidRPr="00E43310" w:rsidRDefault="00E61B85" w:rsidP="0085098E">
            <w:pPr>
              <w:pStyle w:val="Default"/>
              <w:rPr>
                <w:rFonts w:ascii="Arial Unicode MS" w:eastAsia="Arial Unicode MS" w:hAnsi="Arial Unicode MS" w:cs="Arial Unicode MS"/>
                <w:b/>
                <w:bCs/>
                <w:color w:val="auto"/>
                <w:sz w:val="20"/>
                <w:szCs w:val="20"/>
              </w:rPr>
            </w:pPr>
          </w:p>
        </w:tc>
        <w:tc>
          <w:tcPr>
            <w:tcW w:w="1571" w:type="dxa"/>
          </w:tcPr>
          <w:p w:rsidR="00E61B85" w:rsidRPr="00E43310" w:rsidRDefault="00E61B85" w:rsidP="0085098E">
            <w:pPr>
              <w:pStyle w:val="Default"/>
              <w:rPr>
                <w:rFonts w:ascii="Arial Unicode MS" w:eastAsia="Arial Unicode MS" w:hAnsi="Arial Unicode MS" w:cs="Arial Unicode MS"/>
                <w:b/>
                <w:bCs/>
                <w:color w:val="auto"/>
                <w:sz w:val="20"/>
                <w:szCs w:val="20"/>
              </w:rPr>
            </w:pPr>
            <w:r w:rsidRPr="00E43310">
              <w:rPr>
                <w:rFonts w:ascii="Arial Unicode MS" w:eastAsia="Arial Unicode MS" w:hAnsi="Arial Unicode MS" w:cs="Arial Unicode MS"/>
                <w:b/>
                <w:bCs/>
                <w:color w:val="auto"/>
                <w:sz w:val="20"/>
                <w:szCs w:val="20"/>
              </w:rPr>
              <w:t xml:space="preserve">% of Total deposits </w:t>
            </w:r>
          </w:p>
          <w:p w:rsidR="00E61B85" w:rsidRPr="00E43310" w:rsidRDefault="00E61B85" w:rsidP="0085098E">
            <w:pPr>
              <w:pStyle w:val="Default"/>
              <w:rPr>
                <w:rFonts w:ascii="Arial Unicode MS" w:eastAsia="Arial Unicode MS" w:hAnsi="Arial Unicode MS" w:cs="Arial Unicode MS"/>
                <w:b/>
                <w:bCs/>
                <w:color w:val="auto"/>
                <w:sz w:val="20"/>
                <w:szCs w:val="20"/>
              </w:rPr>
            </w:pPr>
          </w:p>
        </w:tc>
        <w:tc>
          <w:tcPr>
            <w:tcW w:w="1618" w:type="dxa"/>
          </w:tcPr>
          <w:p w:rsidR="00E61B85" w:rsidRPr="00E43310" w:rsidRDefault="00E61B85" w:rsidP="0085098E">
            <w:pPr>
              <w:pStyle w:val="Default"/>
              <w:rPr>
                <w:rFonts w:ascii="Arial Unicode MS" w:eastAsia="Arial Unicode MS" w:hAnsi="Arial Unicode MS" w:cs="Arial Unicode MS"/>
                <w:b/>
                <w:bCs/>
                <w:color w:val="auto"/>
                <w:sz w:val="20"/>
                <w:szCs w:val="20"/>
              </w:rPr>
            </w:pPr>
            <w:r w:rsidRPr="00E43310">
              <w:rPr>
                <w:rFonts w:ascii="Arial Unicode MS" w:eastAsia="Arial Unicode MS" w:hAnsi="Arial Unicode MS" w:cs="Arial Unicode MS"/>
                <w:b/>
                <w:bCs/>
                <w:color w:val="auto"/>
                <w:sz w:val="20"/>
                <w:szCs w:val="20"/>
              </w:rPr>
              <w:t xml:space="preserve">% of Total Liabilities </w:t>
            </w:r>
          </w:p>
          <w:p w:rsidR="00E61B85" w:rsidRPr="00E43310" w:rsidRDefault="00E61B85" w:rsidP="0085098E">
            <w:pPr>
              <w:pStyle w:val="Default"/>
              <w:rPr>
                <w:rFonts w:ascii="Arial Unicode MS" w:eastAsia="Arial Unicode MS" w:hAnsi="Arial Unicode MS" w:cs="Arial Unicode MS"/>
                <w:b/>
                <w:bCs/>
                <w:color w:val="auto"/>
                <w:sz w:val="20"/>
                <w:szCs w:val="20"/>
              </w:rPr>
            </w:pPr>
          </w:p>
        </w:tc>
      </w:tr>
      <w:tr w:rsidR="00E61B85" w:rsidRPr="00E43310" w:rsidTr="0085098E">
        <w:trPr>
          <w:trHeight w:val="258"/>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1.</w:t>
            </w:r>
          </w:p>
        </w:tc>
        <w:tc>
          <w:tcPr>
            <w:tcW w:w="2624"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Asian Development Bank</w:t>
            </w:r>
          </w:p>
        </w:tc>
        <w:tc>
          <w:tcPr>
            <w:tcW w:w="1540" w:type="dxa"/>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10,80,076.98</w:t>
            </w:r>
          </w:p>
        </w:tc>
        <w:tc>
          <w:tcPr>
            <w:tcW w:w="1571" w:type="dxa"/>
            <w:vAlign w:val="center"/>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p>
        </w:tc>
        <w:tc>
          <w:tcPr>
            <w:tcW w:w="1618" w:type="dxa"/>
            <w:vAlign w:val="bottom"/>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18.54%</w:t>
            </w:r>
          </w:p>
        </w:tc>
      </w:tr>
      <w:tr w:rsidR="00E61B85" w:rsidRPr="00E43310" w:rsidTr="0085098E">
        <w:trPr>
          <w:trHeight w:val="258"/>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2.</w:t>
            </w:r>
          </w:p>
        </w:tc>
        <w:tc>
          <w:tcPr>
            <w:tcW w:w="2624"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World Bank</w:t>
            </w:r>
          </w:p>
        </w:tc>
        <w:tc>
          <w:tcPr>
            <w:tcW w:w="1540" w:type="dxa"/>
          </w:tcPr>
          <w:p w:rsidR="00E61B85" w:rsidRPr="00E43310" w:rsidRDefault="00A54E0D" w:rsidP="0085098E">
            <w:pPr>
              <w:jc w:val="right"/>
              <w:rPr>
                <w:rFonts w:ascii="Arial Unicode MS" w:eastAsia="Arial Unicode MS" w:hAnsi="Arial Unicode MS" w:cs="Arial Unicode MS"/>
                <w:color w:val="000000"/>
                <w:sz w:val="20"/>
                <w:szCs w:val="20"/>
                <w:lang w:val="en-IN"/>
              </w:rPr>
            </w:pPr>
            <w:r>
              <w:rPr>
                <w:rFonts w:ascii="Arial Unicode MS" w:eastAsia="Arial Unicode MS" w:hAnsi="Arial Unicode MS" w:cs="Arial Unicode MS"/>
                <w:color w:val="000000"/>
                <w:sz w:val="20"/>
                <w:szCs w:val="20"/>
                <w:lang w:val="en-IN"/>
              </w:rPr>
              <w:t>1,03,587.10</w:t>
            </w:r>
          </w:p>
        </w:tc>
        <w:tc>
          <w:tcPr>
            <w:tcW w:w="1571" w:type="dxa"/>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p>
        </w:tc>
        <w:tc>
          <w:tcPr>
            <w:tcW w:w="1618" w:type="dxa"/>
            <w:vAlign w:val="bottom"/>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1.78%</w:t>
            </w:r>
          </w:p>
        </w:tc>
      </w:tr>
      <w:tr w:rsidR="00E61B85" w:rsidRPr="00E43310" w:rsidTr="0085098E">
        <w:trPr>
          <w:trHeight w:val="258"/>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3.</w:t>
            </w:r>
          </w:p>
        </w:tc>
        <w:tc>
          <w:tcPr>
            <w:tcW w:w="2624"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European Investment Bank</w:t>
            </w:r>
          </w:p>
        </w:tc>
        <w:tc>
          <w:tcPr>
            <w:tcW w:w="1540" w:type="dxa"/>
          </w:tcPr>
          <w:p w:rsidR="00E61B85" w:rsidRPr="00E43310" w:rsidRDefault="00A54E0D" w:rsidP="0085098E">
            <w:pPr>
              <w:jc w:val="right"/>
              <w:rPr>
                <w:rFonts w:ascii="Arial Unicode MS" w:eastAsia="Arial Unicode MS" w:hAnsi="Arial Unicode MS" w:cs="Arial Unicode MS"/>
                <w:color w:val="000000"/>
                <w:sz w:val="20"/>
                <w:szCs w:val="20"/>
                <w:lang w:val="en-IN"/>
              </w:rPr>
            </w:pPr>
            <w:r>
              <w:rPr>
                <w:rFonts w:ascii="Arial Unicode MS" w:eastAsia="Arial Unicode MS" w:hAnsi="Arial Unicode MS" w:cs="Arial Unicode MS"/>
                <w:color w:val="000000"/>
                <w:sz w:val="20"/>
                <w:szCs w:val="20"/>
                <w:lang w:val="en-IN"/>
              </w:rPr>
              <w:t>1,38,658.22</w:t>
            </w:r>
          </w:p>
        </w:tc>
        <w:tc>
          <w:tcPr>
            <w:tcW w:w="1571" w:type="dxa"/>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p>
        </w:tc>
        <w:tc>
          <w:tcPr>
            <w:tcW w:w="1618" w:type="dxa"/>
            <w:vAlign w:val="bottom"/>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2.38%</w:t>
            </w:r>
          </w:p>
        </w:tc>
      </w:tr>
      <w:tr w:rsidR="00E61B85" w:rsidRPr="00E43310" w:rsidTr="0085098E">
        <w:trPr>
          <w:trHeight w:val="258"/>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4.</w:t>
            </w:r>
          </w:p>
        </w:tc>
        <w:tc>
          <w:tcPr>
            <w:tcW w:w="2624"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Japan International Cooperation Agency</w:t>
            </w:r>
          </w:p>
        </w:tc>
        <w:tc>
          <w:tcPr>
            <w:tcW w:w="1540" w:type="dxa"/>
            <w:vAlign w:val="center"/>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2,00,674.57</w:t>
            </w:r>
          </w:p>
        </w:tc>
        <w:tc>
          <w:tcPr>
            <w:tcW w:w="1571" w:type="dxa"/>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p>
        </w:tc>
        <w:tc>
          <w:tcPr>
            <w:tcW w:w="1618" w:type="dxa"/>
            <w:vAlign w:val="center"/>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3.44%</w:t>
            </w:r>
          </w:p>
        </w:tc>
      </w:tr>
    </w:tbl>
    <w:p w:rsidR="00E61B85" w:rsidRPr="00E43310" w:rsidRDefault="00E61B85" w:rsidP="00E61B85">
      <w:pPr>
        <w:pStyle w:val="Default"/>
        <w:rPr>
          <w:rFonts w:ascii="Arial Unicode MS" w:eastAsia="Arial Unicode MS" w:hAnsi="Arial Unicode MS" w:cs="Arial Unicode MS"/>
          <w:sz w:val="20"/>
          <w:szCs w:val="20"/>
          <w:highlight w:val="yellow"/>
        </w:rPr>
      </w:pPr>
    </w:p>
    <w:p w:rsidR="00E61B85" w:rsidRPr="00E43310" w:rsidRDefault="00E61B85" w:rsidP="00E61B85">
      <w:pPr>
        <w:pStyle w:val="Default"/>
        <w:rPr>
          <w:rFonts w:ascii="Arial Unicode MS" w:eastAsia="Arial Unicode MS" w:hAnsi="Arial Unicode MS" w:cs="Arial Unicode MS"/>
          <w:sz w:val="20"/>
          <w:szCs w:val="20"/>
          <w:highlight w:val="yellow"/>
        </w:rPr>
      </w:pPr>
    </w:p>
    <w:p w:rsidR="00E61B85" w:rsidRPr="00E43310"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 xml:space="preserve">Top 20 large deposits (amount in </w:t>
      </w:r>
      <w:r w:rsidRPr="00E43310">
        <w:rPr>
          <w:rFonts w:eastAsia="Arial Unicode MS"/>
          <w:sz w:val="20"/>
          <w:szCs w:val="20"/>
        </w:rPr>
        <w:t>₹</w:t>
      </w:r>
      <w:r w:rsidRPr="00E43310">
        <w:rPr>
          <w:rFonts w:ascii="Arial Unicode MS" w:eastAsia="Arial Unicode MS" w:hAnsi="Arial Unicode MS" w:cs="Arial Unicode MS"/>
          <w:sz w:val="20"/>
          <w:szCs w:val="20"/>
        </w:rPr>
        <w:t xml:space="preserve"> crore and % of total deposits) </w:t>
      </w:r>
      <w:r w:rsidRPr="00E43310">
        <w:rPr>
          <w:rFonts w:ascii="Arial Unicode MS" w:eastAsia="Arial Unicode MS" w:hAnsi="Arial Unicode MS" w:cs="Arial Unicode MS" w:hint="eastAsia"/>
          <w:sz w:val="20"/>
          <w:szCs w:val="20"/>
        </w:rPr>
        <w:t>–</w:t>
      </w:r>
      <w:r w:rsidRPr="00E43310">
        <w:rPr>
          <w:rFonts w:ascii="Arial Unicode MS" w:eastAsia="Arial Unicode MS" w:hAnsi="Arial Unicode MS" w:cs="Arial Unicode MS"/>
          <w:sz w:val="20"/>
          <w:szCs w:val="20"/>
        </w:rPr>
        <w:t xml:space="preserve"> NIL as IIFCL is registered to commence/carry on the business of non-banking financial institution without accepting public deposits.  </w:t>
      </w:r>
    </w:p>
    <w:p w:rsidR="00E61B85" w:rsidRPr="00E43310" w:rsidRDefault="00E61B85" w:rsidP="00E61B85">
      <w:pPr>
        <w:pStyle w:val="Default"/>
        <w:ind w:left="720"/>
        <w:rPr>
          <w:rFonts w:ascii="Arial Unicode MS" w:eastAsia="Arial Unicode MS" w:hAnsi="Arial Unicode MS" w:cs="Arial Unicode MS"/>
          <w:sz w:val="20"/>
          <w:szCs w:val="20"/>
        </w:rPr>
      </w:pPr>
    </w:p>
    <w:p w:rsidR="00E61B85" w:rsidRPr="00E43310"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 xml:space="preserve">Top 10 borrowings (amount in </w:t>
      </w:r>
      <w:r w:rsidRPr="00E43310">
        <w:rPr>
          <w:rFonts w:eastAsia="Arial Unicode MS"/>
          <w:sz w:val="20"/>
          <w:szCs w:val="20"/>
        </w:rPr>
        <w:t>₹</w:t>
      </w:r>
      <w:r w:rsidRPr="00E43310">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Lac</w:t>
      </w:r>
      <w:r w:rsidRPr="00E43310">
        <w:rPr>
          <w:rFonts w:ascii="Arial Unicode MS" w:eastAsia="Arial Unicode MS" w:hAnsi="Arial Unicode MS" w:cs="Arial Unicode MS"/>
          <w:sz w:val="20"/>
          <w:szCs w:val="20"/>
        </w:rPr>
        <w:t xml:space="preserve"> and % of total borrowings) - </w:t>
      </w:r>
      <w:r w:rsidRPr="00E43310">
        <w:rPr>
          <w:rFonts w:eastAsia="Arial Unicode MS"/>
          <w:sz w:val="20"/>
          <w:szCs w:val="20"/>
        </w:rPr>
        <w:t>₹</w:t>
      </w:r>
      <w:r w:rsidRPr="00E43310">
        <w:rPr>
          <w:rFonts w:ascii="Arial Unicode MS" w:eastAsia="Arial Unicode MS" w:hAnsi="Arial Unicode MS" w:cs="Arial Unicode MS"/>
          <w:sz w:val="20"/>
          <w:szCs w:val="20"/>
        </w:rPr>
        <w:t xml:space="preserve">   </w:t>
      </w:r>
      <w:r w:rsidR="00A54E0D">
        <w:rPr>
          <w:rFonts w:ascii="Arial Unicode MS" w:eastAsia="Arial Unicode MS" w:hAnsi="Arial Unicode MS" w:cs="Arial Unicode MS"/>
          <w:sz w:val="20"/>
          <w:szCs w:val="20"/>
        </w:rPr>
        <w:t>56,59,794.09</w:t>
      </w:r>
      <w:r>
        <w:rPr>
          <w:rFonts w:ascii="Arial Unicode MS" w:eastAsia="Arial Unicode MS" w:hAnsi="Arial Unicode MS" w:cs="Arial Unicode MS"/>
          <w:sz w:val="20"/>
          <w:szCs w:val="20"/>
        </w:rPr>
        <w:t xml:space="preserve"> lac</w:t>
      </w:r>
      <w:r w:rsidRPr="00E43310">
        <w:rPr>
          <w:rFonts w:ascii="Arial Unicode MS" w:eastAsia="Arial Unicode MS" w:hAnsi="Arial Unicode MS" w:cs="Arial Unicode MS"/>
          <w:sz w:val="20"/>
          <w:szCs w:val="20"/>
        </w:rPr>
        <w:t xml:space="preserve"> and 100%.</w:t>
      </w:r>
    </w:p>
    <w:p w:rsidR="00E61B85" w:rsidRPr="00E43310" w:rsidRDefault="00E61B85" w:rsidP="00E61B85">
      <w:pPr>
        <w:pStyle w:val="Default"/>
        <w:ind w:left="720"/>
        <w:rPr>
          <w:rFonts w:ascii="Arial Unicode MS" w:eastAsia="Arial Unicode MS" w:hAnsi="Arial Unicode MS" w:cs="Arial Unicode MS"/>
          <w:sz w:val="20"/>
          <w:szCs w:val="20"/>
        </w:rPr>
      </w:pPr>
    </w:p>
    <w:p w:rsidR="00E61B85" w:rsidRPr="00E43310"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Funding Concentration based on significant instrument/product:</w:t>
      </w:r>
    </w:p>
    <w:p w:rsidR="00E61B85" w:rsidRPr="00E43310" w:rsidRDefault="00E61B85" w:rsidP="00E61B85">
      <w:pPr>
        <w:pStyle w:val="Default"/>
        <w:ind w:left="720"/>
        <w:rPr>
          <w:rFonts w:ascii="Arial Unicode MS" w:eastAsia="Arial Unicode MS" w:hAnsi="Arial Unicode MS" w:cs="Arial Unicode MS"/>
          <w:sz w:val="20"/>
          <w:szCs w:val="20"/>
        </w:rPr>
      </w:pPr>
    </w:p>
    <w:tbl>
      <w:tblPr>
        <w:tblStyle w:val="TableGrid"/>
        <w:tblW w:w="0" w:type="auto"/>
        <w:tblInd w:w="720" w:type="dxa"/>
        <w:tblLook w:val="04A0" w:firstRow="1" w:lastRow="0" w:firstColumn="1" w:lastColumn="0" w:noHBand="0" w:noVBand="1"/>
      </w:tblPr>
      <w:tblGrid>
        <w:gridCol w:w="929"/>
        <w:gridCol w:w="3879"/>
        <w:gridCol w:w="1683"/>
        <w:gridCol w:w="1805"/>
      </w:tblGrid>
      <w:tr w:rsidR="00E61B85" w:rsidRPr="00E43310" w:rsidTr="0085098E">
        <w:trPr>
          <w:trHeight w:val="984"/>
        </w:trPr>
        <w:tc>
          <w:tcPr>
            <w:tcW w:w="948" w:type="dxa"/>
          </w:tcPr>
          <w:p w:rsidR="00E61B85" w:rsidRPr="00E43310" w:rsidRDefault="00E61B85" w:rsidP="0085098E">
            <w:pPr>
              <w:pStyle w:val="Default"/>
              <w:rPr>
                <w:rFonts w:ascii="Arial Unicode MS" w:eastAsia="Arial Unicode MS" w:hAnsi="Arial Unicode MS" w:cs="Arial Unicode MS"/>
                <w:b/>
                <w:bCs/>
                <w:sz w:val="20"/>
                <w:szCs w:val="20"/>
              </w:rPr>
            </w:pPr>
            <w:r w:rsidRPr="00E43310">
              <w:rPr>
                <w:rFonts w:ascii="Arial Unicode MS" w:eastAsia="Arial Unicode MS" w:hAnsi="Arial Unicode MS" w:cs="Arial Unicode MS"/>
                <w:b/>
                <w:bCs/>
                <w:sz w:val="20"/>
                <w:szCs w:val="20"/>
              </w:rPr>
              <w:t xml:space="preserve">Sr. No. </w:t>
            </w:r>
          </w:p>
          <w:p w:rsidR="00E61B85" w:rsidRPr="00E43310" w:rsidRDefault="00E61B85" w:rsidP="0085098E">
            <w:pPr>
              <w:pStyle w:val="Default"/>
              <w:rPr>
                <w:rFonts w:ascii="Arial Unicode MS" w:eastAsia="Arial Unicode MS" w:hAnsi="Arial Unicode MS" w:cs="Arial Unicode MS"/>
                <w:b/>
                <w:bCs/>
                <w:sz w:val="20"/>
                <w:szCs w:val="20"/>
              </w:rPr>
            </w:pPr>
          </w:p>
        </w:tc>
        <w:tc>
          <w:tcPr>
            <w:tcW w:w="3969" w:type="dxa"/>
          </w:tcPr>
          <w:p w:rsidR="00E61B85" w:rsidRPr="00E43310" w:rsidRDefault="00E61B85" w:rsidP="0085098E">
            <w:pPr>
              <w:pStyle w:val="Default"/>
              <w:rPr>
                <w:rFonts w:ascii="Arial Unicode MS" w:eastAsia="Arial Unicode MS" w:hAnsi="Arial Unicode MS" w:cs="Arial Unicode MS"/>
                <w:b/>
                <w:bCs/>
                <w:sz w:val="20"/>
                <w:szCs w:val="20"/>
              </w:rPr>
            </w:pPr>
            <w:r w:rsidRPr="00E43310">
              <w:rPr>
                <w:rFonts w:ascii="Arial Unicode MS" w:eastAsia="Arial Unicode MS" w:hAnsi="Arial Unicode MS" w:cs="Arial Unicode MS"/>
                <w:b/>
                <w:bCs/>
                <w:sz w:val="20"/>
                <w:szCs w:val="20"/>
              </w:rPr>
              <w:t xml:space="preserve">Name of the instrument/product </w:t>
            </w:r>
          </w:p>
          <w:p w:rsidR="00E61B85" w:rsidRPr="00E43310" w:rsidRDefault="00E61B85" w:rsidP="0085098E">
            <w:pPr>
              <w:pStyle w:val="Default"/>
              <w:rPr>
                <w:rFonts w:ascii="Arial Unicode MS" w:eastAsia="Arial Unicode MS" w:hAnsi="Arial Unicode MS" w:cs="Arial Unicode MS"/>
                <w:b/>
                <w:bCs/>
                <w:sz w:val="20"/>
                <w:szCs w:val="20"/>
              </w:rPr>
            </w:pPr>
          </w:p>
        </w:tc>
        <w:tc>
          <w:tcPr>
            <w:tcW w:w="1701" w:type="dxa"/>
          </w:tcPr>
          <w:p w:rsidR="00E61B85" w:rsidRPr="00E43310" w:rsidRDefault="00E61B85" w:rsidP="0085098E">
            <w:pPr>
              <w:pStyle w:val="Default"/>
              <w:rPr>
                <w:rFonts w:ascii="Arial Unicode MS" w:eastAsia="Arial Unicode MS" w:hAnsi="Arial Unicode MS" w:cs="Arial Unicode MS"/>
                <w:b/>
                <w:bCs/>
                <w:sz w:val="20"/>
                <w:szCs w:val="20"/>
              </w:rPr>
            </w:pPr>
            <w:r w:rsidRPr="00E43310">
              <w:rPr>
                <w:rFonts w:ascii="Arial Unicode MS" w:eastAsia="Arial Unicode MS" w:hAnsi="Arial Unicode MS" w:cs="Arial Unicode MS"/>
                <w:b/>
                <w:bCs/>
                <w:sz w:val="20"/>
                <w:szCs w:val="20"/>
              </w:rPr>
              <w:t>Amount (</w:t>
            </w:r>
            <w:r w:rsidRPr="00E43310">
              <w:rPr>
                <w:rFonts w:eastAsia="Arial Unicode MS"/>
                <w:b/>
                <w:bCs/>
                <w:sz w:val="20"/>
                <w:szCs w:val="20"/>
              </w:rPr>
              <w:t>₹</w:t>
            </w:r>
            <w:r w:rsidRPr="00E43310">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lac</w:t>
            </w:r>
            <w:r w:rsidRPr="00E43310">
              <w:rPr>
                <w:rFonts w:ascii="Arial Unicode MS" w:eastAsia="Arial Unicode MS" w:hAnsi="Arial Unicode MS" w:cs="Arial Unicode MS"/>
                <w:b/>
                <w:bCs/>
                <w:sz w:val="20"/>
                <w:szCs w:val="20"/>
              </w:rPr>
              <w:t xml:space="preserve">) </w:t>
            </w:r>
          </w:p>
          <w:p w:rsidR="00E61B85" w:rsidRPr="00E43310" w:rsidRDefault="00E61B85" w:rsidP="0085098E">
            <w:pPr>
              <w:pStyle w:val="Default"/>
              <w:rPr>
                <w:rFonts w:ascii="Arial Unicode MS" w:eastAsia="Arial Unicode MS" w:hAnsi="Arial Unicode MS" w:cs="Arial Unicode MS"/>
                <w:b/>
                <w:bCs/>
                <w:sz w:val="20"/>
                <w:szCs w:val="20"/>
              </w:rPr>
            </w:pPr>
          </w:p>
        </w:tc>
        <w:tc>
          <w:tcPr>
            <w:tcW w:w="1842" w:type="dxa"/>
          </w:tcPr>
          <w:p w:rsidR="00E61B85" w:rsidRPr="00E43310" w:rsidRDefault="00E61B85" w:rsidP="0085098E">
            <w:pPr>
              <w:pStyle w:val="Default"/>
              <w:rPr>
                <w:rFonts w:ascii="Arial Unicode MS" w:eastAsia="Arial Unicode MS" w:hAnsi="Arial Unicode MS" w:cs="Arial Unicode MS"/>
                <w:b/>
                <w:bCs/>
                <w:sz w:val="20"/>
                <w:szCs w:val="20"/>
              </w:rPr>
            </w:pPr>
            <w:r w:rsidRPr="00E43310">
              <w:rPr>
                <w:rFonts w:ascii="Arial Unicode MS" w:eastAsia="Arial Unicode MS" w:hAnsi="Arial Unicode MS" w:cs="Arial Unicode MS"/>
                <w:b/>
                <w:bCs/>
                <w:sz w:val="20"/>
                <w:szCs w:val="20"/>
              </w:rPr>
              <w:t xml:space="preserve">% of Total Liabilities </w:t>
            </w:r>
          </w:p>
          <w:p w:rsidR="00E61B85" w:rsidRPr="00E43310" w:rsidRDefault="00E61B85" w:rsidP="0085098E">
            <w:pPr>
              <w:pStyle w:val="Default"/>
              <w:rPr>
                <w:rFonts w:ascii="Arial Unicode MS" w:eastAsia="Arial Unicode MS" w:hAnsi="Arial Unicode MS" w:cs="Arial Unicode MS"/>
                <w:b/>
                <w:bCs/>
                <w:sz w:val="20"/>
                <w:szCs w:val="20"/>
              </w:rPr>
            </w:pPr>
          </w:p>
        </w:tc>
      </w:tr>
      <w:tr w:rsidR="00E61B85" w:rsidRPr="00E43310" w:rsidTr="0085098E">
        <w:trPr>
          <w:trHeight w:val="246"/>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1.</w:t>
            </w:r>
          </w:p>
        </w:tc>
        <w:tc>
          <w:tcPr>
            <w:tcW w:w="3969"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Secured Bonds</w:t>
            </w:r>
          </w:p>
        </w:tc>
        <w:tc>
          <w:tcPr>
            <w:tcW w:w="1701" w:type="dxa"/>
          </w:tcPr>
          <w:p w:rsidR="00E61B85" w:rsidRPr="00E43310" w:rsidRDefault="00E61B85"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11,39,336.50</w:t>
            </w:r>
          </w:p>
        </w:tc>
        <w:tc>
          <w:tcPr>
            <w:tcW w:w="1842" w:type="dxa"/>
            <w:vAlign w:val="bottom"/>
          </w:tcPr>
          <w:p w:rsidR="00E61B85" w:rsidRPr="00E43310" w:rsidRDefault="00E61B85" w:rsidP="00A54E0D">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r w:rsidR="00A54E0D">
              <w:rPr>
                <w:rFonts w:ascii="Arial Unicode MS" w:eastAsia="Arial Unicode MS" w:hAnsi="Arial Unicode MS" w:cs="Arial Unicode MS"/>
                <w:sz w:val="20"/>
                <w:szCs w:val="20"/>
              </w:rPr>
              <w:t>56</w:t>
            </w:r>
            <w:r w:rsidRPr="00E43310">
              <w:rPr>
                <w:rFonts w:ascii="Arial Unicode MS" w:eastAsia="Arial Unicode MS" w:hAnsi="Arial Unicode MS" w:cs="Arial Unicode MS"/>
                <w:sz w:val="20"/>
                <w:szCs w:val="20"/>
              </w:rPr>
              <w:t>%</w:t>
            </w:r>
          </w:p>
        </w:tc>
      </w:tr>
      <w:tr w:rsidR="00E61B85" w:rsidRPr="00E43310" w:rsidTr="0085098E">
        <w:trPr>
          <w:trHeight w:val="246"/>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2.</w:t>
            </w:r>
          </w:p>
        </w:tc>
        <w:tc>
          <w:tcPr>
            <w:tcW w:w="3969"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Unsecured Bonds</w:t>
            </w:r>
          </w:p>
        </w:tc>
        <w:tc>
          <w:tcPr>
            <w:tcW w:w="1701" w:type="dxa"/>
          </w:tcPr>
          <w:p w:rsidR="00E61B85" w:rsidRPr="00E43310" w:rsidRDefault="00A54E0D"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14,00,000.00</w:t>
            </w:r>
          </w:p>
        </w:tc>
        <w:tc>
          <w:tcPr>
            <w:tcW w:w="1842" w:type="dxa"/>
            <w:vAlign w:val="bottom"/>
          </w:tcPr>
          <w:p w:rsidR="00E61B85" w:rsidRPr="00E43310" w:rsidRDefault="00A54E0D" w:rsidP="00A54E0D">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r w:rsidR="00E61B85">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03</w:t>
            </w:r>
            <w:r w:rsidR="00E61B85" w:rsidRPr="00E43310">
              <w:rPr>
                <w:rFonts w:ascii="Arial Unicode MS" w:eastAsia="Arial Unicode MS" w:hAnsi="Arial Unicode MS" w:cs="Arial Unicode MS"/>
                <w:sz w:val="20"/>
                <w:szCs w:val="20"/>
              </w:rPr>
              <w:t>%</w:t>
            </w:r>
          </w:p>
        </w:tc>
      </w:tr>
      <w:tr w:rsidR="00E61B85" w:rsidRPr="00E43310" w:rsidTr="0085098E">
        <w:trPr>
          <w:trHeight w:val="246"/>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3.</w:t>
            </w:r>
          </w:p>
        </w:tc>
        <w:tc>
          <w:tcPr>
            <w:tcW w:w="3969"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Foreign Currency Borrowings</w:t>
            </w:r>
          </w:p>
        </w:tc>
        <w:tc>
          <w:tcPr>
            <w:tcW w:w="1701" w:type="dxa"/>
          </w:tcPr>
          <w:p w:rsidR="00E61B85" w:rsidRPr="00E43310" w:rsidRDefault="00E61B85"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15,18,878.98</w:t>
            </w:r>
          </w:p>
        </w:tc>
        <w:tc>
          <w:tcPr>
            <w:tcW w:w="1842" w:type="dxa"/>
            <w:vAlign w:val="bottom"/>
          </w:tcPr>
          <w:p w:rsidR="00E61B85" w:rsidRPr="00E43310" w:rsidRDefault="00E61B85" w:rsidP="00A54E0D">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r w:rsidR="00A54E0D">
              <w:rPr>
                <w:rFonts w:ascii="Arial Unicode MS" w:eastAsia="Arial Unicode MS" w:hAnsi="Arial Unicode MS" w:cs="Arial Unicode MS"/>
                <w:sz w:val="20"/>
                <w:szCs w:val="20"/>
              </w:rPr>
              <w:t>37</w:t>
            </w:r>
            <w:r w:rsidRPr="00E43310">
              <w:rPr>
                <w:rFonts w:ascii="Arial Unicode MS" w:eastAsia="Arial Unicode MS" w:hAnsi="Arial Unicode MS" w:cs="Arial Unicode MS"/>
                <w:sz w:val="20"/>
                <w:szCs w:val="20"/>
              </w:rPr>
              <w:t>%</w:t>
            </w:r>
          </w:p>
        </w:tc>
      </w:tr>
      <w:tr w:rsidR="00E61B85" w:rsidRPr="00E43310" w:rsidTr="0085098E">
        <w:trPr>
          <w:trHeight w:val="246"/>
        </w:trPr>
        <w:tc>
          <w:tcPr>
            <w:tcW w:w="948"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4.</w:t>
            </w:r>
          </w:p>
        </w:tc>
        <w:tc>
          <w:tcPr>
            <w:tcW w:w="3969" w:type="dxa"/>
          </w:tcPr>
          <w:p w:rsidR="00E61B85" w:rsidRPr="00E43310" w:rsidRDefault="00E61B85" w:rsidP="0085098E">
            <w:pPr>
              <w:pStyle w:val="Default"/>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Bank Overdraft/STL from Banks</w:t>
            </w:r>
          </w:p>
        </w:tc>
        <w:tc>
          <w:tcPr>
            <w:tcW w:w="1701" w:type="dxa"/>
          </w:tcPr>
          <w:p w:rsidR="00E61B85" w:rsidRPr="00E43310" w:rsidRDefault="00E61B85" w:rsidP="0085098E">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14,61,814.63</w:t>
            </w:r>
          </w:p>
        </w:tc>
        <w:tc>
          <w:tcPr>
            <w:tcW w:w="1842" w:type="dxa"/>
            <w:vAlign w:val="bottom"/>
          </w:tcPr>
          <w:p w:rsidR="00E61B85" w:rsidRPr="00E43310" w:rsidRDefault="00E61B85" w:rsidP="00A54E0D">
            <w:pPr>
              <w:pStyle w:val="Default"/>
              <w:jc w:val="righ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25.5</w:t>
            </w:r>
            <w:r w:rsidR="00A54E0D">
              <w:rPr>
                <w:rFonts w:ascii="Arial Unicode MS" w:eastAsia="Arial Unicode MS" w:hAnsi="Arial Unicode MS" w:cs="Arial Unicode MS"/>
                <w:sz w:val="20"/>
                <w:szCs w:val="20"/>
              </w:rPr>
              <w:t>3</w:t>
            </w:r>
            <w:r w:rsidRPr="00E43310">
              <w:rPr>
                <w:rFonts w:ascii="Arial Unicode MS" w:eastAsia="Arial Unicode MS" w:hAnsi="Arial Unicode MS" w:cs="Arial Unicode MS"/>
                <w:sz w:val="20"/>
                <w:szCs w:val="20"/>
              </w:rPr>
              <w:t>%</w:t>
            </w:r>
          </w:p>
        </w:tc>
      </w:tr>
    </w:tbl>
    <w:p w:rsidR="00E61B85" w:rsidRPr="00E43310" w:rsidRDefault="00E61B85" w:rsidP="00E61B85">
      <w:pPr>
        <w:pStyle w:val="Default"/>
        <w:rPr>
          <w:rFonts w:ascii="Arial Unicode MS" w:eastAsia="Arial Unicode MS" w:hAnsi="Arial Unicode MS" w:cs="Arial Unicode MS"/>
          <w:sz w:val="20"/>
          <w:szCs w:val="20"/>
        </w:rPr>
      </w:pPr>
    </w:p>
    <w:p w:rsidR="00E61B85" w:rsidRPr="00E43310" w:rsidRDefault="00E61B85" w:rsidP="00E61B85">
      <w:pPr>
        <w:pStyle w:val="Default"/>
        <w:rPr>
          <w:rFonts w:ascii="Arial Unicode MS" w:eastAsia="Arial Unicode MS" w:hAnsi="Arial Unicode MS" w:cs="Arial Unicode MS"/>
          <w:sz w:val="20"/>
          <w:szCs w:val="20"/>
        </w:rPr>
      </w:pPr>
    </w:p>
    <w:p w:rsidR="00E61B85" w:rsidRPr="00E43310"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 xml:space="preserve">Stock Ratios: </w:t>
      </w:r>
    </w:p>
    <w:p w:rsidR="00E61B85" w:rsidRPr="00E43310" w:rsidRDefault="00E61B85" w:rsidP="00E61B85">
      <w:pPr>
        <w:pStyle w:val="Default"/>
        <w:spacing w:after="80"/>
        <w:ind w:left="567"/>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(a) Commercial papers as a % of total public funds, total liabilities and total assets -NA</w:t>
      </w:r>
    </w:p>
    <w:p w:rsidR="00E61B85" w:rsidRPr="00E43310" w:rsidRDefault="00E61B85" w:rsidP="00E61B85">
      <w:pPr>
        <w:pStyle w:val="Default"/>
        <w:spacing w:after="80"/>
        <w:ind w:left="567"/>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(b) Non-convertible debentures (original maturity of less than one year) as a % of total public funds, total liabilities and total assets -NIL</w:t>
      </w:r>
    </w:p>
    <w:p w:rsidR="00E61B85" w:rsidRPr="00E43310" w:rsidRDefault="00E61B85" w:rsidP="00E61B85">
      <w:pPr>
        <w:pStyle w:val="Default"/>
        <w:ind w:left="567"/>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(c) Other short-term liabilities as a % of Total public funds – NIL</w:t>
      </w:r>
    </w:p>
    <w:p w:rsidR="00E61B85" w:rsidRPr="00E43310" w:rsidRDefault="00E61B85" w:rsidP="00E61B85">
      <w:pPr>
        <w:pStyle w:val="Default"/>
        <w:ind w:left="851"/>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 xml:space="preserve">Other short-term liabilities as a % of Total liabilities </w:t>
      </w:r>
      <w:r>
        <w:rPr>
          <w:rFonts w:ascii="Arial Unicode MS" w:eastAsia="Arial Unicode MS" w:hAnsi="Arial Unicode MS" w:cs="Arial Unicode MS"/>
          <w:sz w:val="20"/>
          <w:szCs w:val="20"/>
        </w:rPr>
        <w:t>3</w:t>
      </w:r>
      <w:r w:rsidR="00596E7D">
        <w:rPr>
          <w:rFonts w:ascii="Arial Unicode MS" w:eastAsia="Arial Unicode MS" w:hAnsi="Arial Unicode MS" w:cs="Arial Unicode MS"/>
          <w:sz w:val="20"/>
          <w:szCs w:val="20"/>
        </w:rPr>
        <w:t>2.82</w:t>
      </w:r>
      <w:r w:rsidRPr="00E43310">
        <w:rPr>
          <w:rFonts w:ascii="Arial Unicode MS" w:eastAsia="Arial Unicode MS" w:hAnsi="Arial Unicode MS" w:cs="Arial Unicode MS"/>
          <w:sz w:val="20"/>
          <w:szCs w:val="20"/>
        </w:rPr>
        <w:t>%</w:t>
      </w:r>
    </w:p>
    <w:p w:rsidR="00E61B85" w:rsidRPr="00E43310" w:rsidRDefault="00E61B85" w:rsidP="00E61B85">
      <w:pPr>
        <w:pStyle w:val="Default"/>
        <w:ind w:left="851"/>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 xml:space="preserve">Other short-term liabilities as a % of Total assets </w:t>
      </w:r>
      <w:r>
        <w:rPr>
          <w:rFonts w:ascii="Arial Unicode MS" w:eastAsia="Arial Unicode MS" w:hAnsi="Arial Unicode MS" w:cs="Arial Unicode MS"/>
          <w:sz w:val="20"/>
          <w:szCs w:val="20"/>
        </w:rPr>
        <w:t>26.</w:t>
      </w:r>
      <w:r w:rsidR="00596E7D">
        <w:rPr>
          <w:rFonts w:ascii="Arial Unicode MS" w:eastAsia="Arial Unicode MS" w:hAnsi="Arial Unicode MS" w:cs="Arial Unicode MS"/>
          <w:sz w:val="20"/>
          <w:szCs w:val="20"/>
        </w:rPr>
        <w:t>06</w:t>
      </w:r>
      <w:r w:rsidRPr="00E43310">
        <w:rPr>
          <w:rFonts w:ascii="Arial Unicode MS" w:eastAsia="Arial Unicode MS" w:hAnsi="Arial Unicode MS" w:cs="Arial Unicode MS"/>
          <w:sz w:val="20"/>
          <w:szCs w:val="20"/>
        </w:rPr>
        <w:t>%</w:t>
      </w:r>
    </w:p>
    <w:p w:rsidR="00E61B85" w:rsidRPr="00E43310" w:rsidRDefault="00E61B85" w:rsidP="00E61B85">
      <w:pPr>
        <w:pStyle w:val="Default"/>
        <w:ind w:left="567"/>
        <w:rPr>
          <w:rFonts w:ascii="Arial Unicode MS" w:eastAsia="Arial Unicode MS" w:hAnsi="Arial Unicode MS" w:cs="Arial Unicode MS"/>
          <w:sz w:val="20"/>
          <w:szCs w:val="20"/>
        </w:rPr>
      </w:pPr>
    </w:p>
    <w:p w:rsidR="00E61B85" w:rsidRPr="00E43310" w:rsidRDefault="00E61B85" w:rsidP="00E61B85">
      <w:pPr>
        <w:pStyle w:val="Default"/>
        <w:numPr>
          <w:ilvl w:val="0"/>
          <w:numId w:val="2"/>
        </w:numPr>
        <w:rPr>
          <w:rFonts w:ascii="Arial Unicode MS" w:eastAsia="Arial Unicode MS" w:hAnsi="Arial Unicode MS" w:cs="Arial Unicode MS"/>
          <w:sz w:val="20"/>
          <w:szCs w:val="20"/>
        </w:rPr>
      </w:pPr>
      <w:r w:rsidRPr="00E43310">
        <w:rPr>
          <w:rFonts w:ascii="Arial Unicode MS" w:eastAsia="Arial Unicode MS" w:hAnsi="Arial Unicode MS" w:cs="Arial Unicode MS"/>
          <w:sz w:val="20"/>
          <w:szCs w:val="20"/>
        </w:rPr>
        <w:t>Institutional set-up for liquidity risk management:</w:t>
      </w:r>
    </w:p>
    <w:p w:rsidR="00E61B85" w:rsidRPr="00E43310" w:rsidRDefault="00E61B85" w:rsidP="00E61B85">
      <w:pPr>
        <w:rPr>
          <w:rFonts w:ascii="Arial Unicode MS" w:eastAsia="Arial Unicode MS" w:hAnsi="Arial Unicode MS" w:cs="Arial Unicode MS"/>
          <w:b/>
          <w:bCs/>
          <w:sz w:val="20"/>
          <w:szCs w:val="20"/>
        </w:rPr>
      </w:pPr>
    </w:p>
    <w:p w:rsidR="00E61B85" w:rsidRPr="00E43310" w:rsidRDefault="00E61B85" w:rsidP="00E61B85">
      <w:pPr>
        <w:pStyle w:val="Heading1"/>
        <w:keepLines/>
        <w:spacing w:line="276" w:lineRule="auto"/>
        <w:ind w:left="567"/>
        <w:rPr>
          <w:rFonts w:cs="Arial Unicode MS"/>
          <w:b w:val="0"/>
          <w:bCs/>
          <w:color w:val="000000"/>
          <w:szCs w:val="20"/>
          <w:lang w:val="en-IN" w:bidi="hi-IN"/>
        </w:rPr>
      </w:pPr>
      <w:r w:rsidRPr="00E43310">
        <w:rPr>
          <w:rFonts w:cs="Arial Unicode MS"/>
          <w:b w:val="0"/>
          <w:color w:val="000000"/>
          <w:szCs w:val="20"/>
          <w:lang w:val="en-IN" w:bidi="hi-IN"/>
        </w:rPr>
        <w:t>IIFCL endeavours to maintain sufficient Liquidity to take care of its business requirements as per Resource and Treasury Policy of IIFCL. Further, the Liquidity Risk Management of IIFCL has undertaken through the Asset Liability Management Framework of IIFCL (ALM Policy) and the organizational setup for the same is as below:</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Board of Directors</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 xml:space="preserve">Risk Management Committee  </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 xml:space="preserve">Asset-Liability Management Committee </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Risk Management Department</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ALM Support Group</w:t>
      </w:r>
    </w:p>
    <w:p w:rsidR="00E61B85" w:rsidRPr="00E43310" w:rsidRDefault="00E61B85" w:rsidP="00E61B85">
      <w:pPr>
        <w:pStyle w:val="Heading1"/>
        <w:keepLines/>
        <w:spacing w:line="276" w:lineRule="auto"/>
        <w:ind w:left="567"/>
        <w:rPr>
          <w:rFonts w:cs="Arial Unicode MS"/>
          <w:b w:val="0"/>
          <w:color w:val="000000"/>
          <w:szCs w:val="20"/>
          <w:lang w:val="en-IN" w:bidi="hi-IN"/>
        </w:rPr>
      </w:pPr>
      <w:r w:rsidRPr="00E43310">
        <w:rPr>
          <w:rFonts w:cs="Arial Unicode MS"/>
          <w:b w:val="0"/>
          <w:color w:val="000000"/>
          <w:szCs w:val="20"/>
          <w:lang w:val="en-IN" w:bidi="hi-IN"/>
        </w:rPr>
        <w:t xml:space="preserve">Also, the Risk Management Committee, which reports to the Board and consists of Directors, Managing Director, Deputy Managing Director is responsible for overall risk faced by IIFCL including Liquidity Risk. </w:t>
      </w:r>
    </w:p>
    <w:p w:rsidR="00E61B85" w:rsidRPr="00E43310" w:rsidRDefault="00E61B85" w:rsidP="00E61B85">
      <w:pPr>
        <w:pStyle w:val="Heading1"/>
        <w:keepLines/>
        <w:spacing w:line="276" w:lineRule="auto"/>
        <w:ind w:left="567"/>
        <w:rPr>
          <w:rFonts w:cs="Arial Unicode MS"/>
          <w:b w:val="0"/>
          <w:bCs/>
          <w:color w:val="000000"/>
          <w:szCs w:val="20"/>
          <w:lang w:val="en-IN" w:bidi="hi-IN"/>
        </w:rPr>
      </w:pPr>
      <w:r w:rsidRPr="00E43310">
        <w:rPr>
          <w:rFonts w:cs="Arial Unicode MS"/>
          <w:b w:val="0"/>
          <w:color w:val="000000"/>
          <w:szCs w:val="20"/>
          <w:lang w:val="en-IN" w:bidi="hi-IN"/>
        </w:rPr>
        <w:t>Further, IIFCL not only measures the liquidity positions on an ongoing basis but also examines how liquidity requirements are likely to evolve under different assumptions using following tools/techniques:</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bookmarkStart w:id="0" w:name="_Toc11333044"/>
      <w:bookmarkStart w:id="1" w:name="_Toc11336137"/>
      <w:bookmarkStart w:id="2" w:name="_Toc11337332"/>
      <w:bookmarkStart w:id="3" w:name="_Toc11682263"/>
      <w:bookmarkStart w:id="4" w:name="_Toc11683070"/>
      <w:bookmarkStart w:id="5" w:name="_Toc14289209"/>
      <w:bookmarkStart w:id="6" w:name="_Toc26023224"/>
      <w:r w:rsidRPr="00E43310">
        <w:rPr>
          <w:rFonts w:ascii="Arial Unicode MS" w:eastAsia="Arial Unicode MS" w:hAnsi="Arial Unicode MS" w:cs="Arial Unicode MS"/>
          <w:color w:val="000000"/>
          <w:sz w:val="20"/>
          <w:szCs w:val="20"/>
          <w:lang w:val="en-IN" w:bidi="hi-IN"/>
        </w:rPr>
        <w:t>Bucketing and Bucketing Assumptions</w:t>
      </w:r>
      <w:bookmarkEnd w:id="0"/>
      <w:bookmarkEnd w:id="1"/>
      <w:bookmarkEnd w:id="2"/>
      <w:bookmarkEnd w:id="3"/>
      <w:bookmarkEnd w:id="4"/>
      <w:bookmarkEnd w:id="5"/>
      <w:bookmarkEnd w:id="6"/>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Cash Flow Measurement – Structural Liquidity Report</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Dynamic Liquidity Report</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bookmarkStart w:id="7" w:name="_Toc26023250"/>
      <w:r w:rsidRPr="00E43310">
        <w:rPr>
          <w:rFonts w:ascii="Arial Unicode MS" w:eastAsia="Arial Unicode MS" w:hAnsi="Arial Unicode MS" w:cs="Arial Unicode MS"/>
          <w:color w:val="000000"/>
          <w:sz w:val="20"/>
          <w:szCs w:val="20"/>
          <w:lang w:val="en-IN" w:bidi="hi-IN"/>
        </w:rPr>
        <w:t>Interest Rate Risk</w:t>
      </w:r>
      <w:bookmarkEnd w:id="7"/>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Back Testing</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bookmarkStart w:id="8" w:name="_Toc26023227"/>
      <w:r w:rsidRPr="00E43310">
        <w:rPr>
          <w:rFonts w:ascii="Arial Unicode MS" w:eastAsia="Arial Unicode MS" w:hAnsi="Arial Unicode MS" w:cs="Arial Unicode MS"/>
          <w:color w:val="000000"/>
          <w:sz w:val="20"/>
          <w:szCs w:val="20"/>
          <w:lang w:val="en-IN" w:bidi="hi-IN"/>
        </w:rPr>
        <w:t>Limits Monitoring</w:t>
      </w:r>
      <w:bookmarkEnd w:id="8"/>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Stock Based Approach - Liquidity Ratios</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Liquidity Coverage Ratio (LCR)</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Stress Testing framework for Liquidity Risk</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Funding Strategy</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Currency Risk</w:t>
      </w:r>
    </w:p>
    <w:p w:rsidR="00E61B85" w:rsidRPr="00E43310" w:rsidRDefault="00E61B85" w:rsidP="00E61B85">
      <w:pPr>
        <w:pStyle w:val="ListParagraph"/>
        <w:numPr>
          <w:ilvl w:val="0"/>
          <w:numId w:val="3"/>
        </w:numPr>
        <w:spacing w:after="200" w:line="276" w:lineRule="auto"/>
        <w:ind w:left="567" w:firstLine="0"/>
        <w:contextualSpacing/>
        <w:jc w:val="both"/>
        <w:rPr>
          <w:rFonts w:ascii="Arial Unicode MS" w:eastAsia="Arial Unicode MS" w:hAnsi="Arial Unicode MS" w:cs="Arial Unicode MS"/>
          <w:color w:val="000000"/>
          <w:sz w:val="20"/>
          <w:szCs w:val="20"/>
          <w:lang w:val="en-IN" w:bidi="hi-IN"/>
        </w:rPr>
      </w:pPr>
      <w:bookmarkStart w:id="9" w:name="_Toc415213029"/>
      <w:bookmarkStart w:id="10" w:name="_Toc11333062"/>
      <w:bookmarkStart w:id="11" w:name="_Toc11336155"/>
      <w:bookmarkStart w:id="12" w:name="_Toc11337408"/>
      <w:r w:rsidRPr="00E43310">
        <w:rPr>
          <w:rFonts w:ascii="Arial Unicode MS" w:eastAsia="Arial Unicode MS" w:hAnsi="Arial Unicode MS" w:cs="Arial Unicode MS"/>
          <w:color w:val="000000"/>
          <w:sz w:val="20"/>
          <w:szCs w:val="20"/>
          <w:lang w:val="en-IN" w:bidi="hi-IN"/>
        </w:rPr>
        <w:t>Contingency Funding Plan</w:t>
      </w:r>
      <w:bookmarkEnd w:id="9"/>
      <w:bookmarkEnd w:id="10"/>
      <w:bookmarkEnd w:id="11"/>
      <w:bookmarkEnd w:id="12"/>
    </w:p>
    <w:p w:rsidR="00E61B85" w:rsidRPr="00596E7D" w:rsidRDefault="00E61B85" w:rsidP="00596E7D">
      <w:pPr>
        <w:pStyle w:val="ListParagraph"/>
        <w:numPr>
          <w:ilvl w:val="0"/>
          <w:numId w:val="1"/>
        </w:numPr>
        <w:ind w:left="-90" w:right="77"/>
        <w:jc w:val="both"/>
        <w:rPr>
          <w:rFonts w:ascii="Arial Unicode MS" w:eastAsia="Arial Unicode MS" w:hAnsi="Arial Unicode MS" w:cs="Arial Unicode MS"/>
          <w:b/>
          <w:bCs/>
          <w:sz w:val="20"/>
          <w:szCs w:val="20"/>
        </w:rPr>
      </w:pPr>
      <w:r w:rsidRPr="00E43310">
        <w:rPr>
          <w:rFonts w:ascii="Arial Unicode MS" w:eastAsia="Arial Unicode MS" w:hAnsi="Arial Unicode MS" w:cs="Arial Unicode MS"/>
          <w:b/>
          <w:bCs/>
          <w:sz w:val="20"/>
          <w:szCs w:val="20"/>
        </w:rPr>
        <w:t xml:space="preserve">Disclosure pertaining to Liquidity Coverage Ratio (LCR): </w:t>
      </w:r>
    </w:p>
    <w:p w:rsidR="00E61B85" w:rsidRPr="00E43310" w:rsidRDefault="00E61B85" w:rsidP="00E61B85">
      <w:pPr>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RBI vide its Master Direction – Reserve Bank of India (Non-Banking Financial Company – Scale Based Regulation) Directions, 2023 issued the guidelines covering liquidity risk management for NBFCs</w:t>
      </w:r>
    </w:p>
    <w:p w:rsidR="00E61B85" w:rsidRPr="00E43310" w:rsidRDefault="00E61B85" w:rsidP="00E61B85">
      <w:pPr>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wherein RBI introduced Liquidity Coverage Ratio (LCR) applicable on all non-deposit taking NBFCs with asset size of more than 5,000 crore. The guidelines aim to maintain a liquidity buffer in terms of LCR</w:t>
      </w:r>
    </w:p>
    <w:p w:rsidR="00E61B85" w:rsidRPr="00E43310" w:rsidRDefault="00E61B85" w:rsidP="00E61B85">
      <w:pPr>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by ensuring that they have sufficient High Quality Liquid Asset (HQLA) to survive any acute liquidity stress scenario lasting for next 30 days. As per the guideline, LCR is represented by Stock of High-Quality</w:t>
      </w:r>
    </w:p>
    <w:p w:rsidR="00E61B85" w:rsidRPr="00E43310" w:rsidRDefault="00E61B85" w:rsidP="00E61B85">
      <w:pPr>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lastRenderedPageBreak/>
        <w:t>Liquid Assets (HQLA) divided by Total Net Cash Outflows (stressed outflow less stressed inflows) over the next 30 calendar days. HQLA are defined by RBI as the liquid assets that can be readily sold or</w:t>
      </w:r>
    </w:p>
    <w:p w:rsidR="00E61B85" w:rsidRPr="00E43310" w:rsidRDefault="00E61B85" w:rsidP="00E61B85">
      <w:pPr>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immediately convertible into cash at little/no loss of value or can be used as collateral to obtain funds in stress situations.</w:t>
      </w:r>
    </w:p>
    <w:p w:rsidR="00E61B85" w:rsidRPr="00E43310" w:rsidRDefault="00E61B85" w:rsidP="00596E7D">
      <w:pPr>
        <w:ind w:right="-472"/>
        <w:jc w:val="both"/>
        <w:rPr>
          <w:rFonts w:ascii="Arial Unicode MS" w:eastAsia="Arial Unicode MS" w:hAnsi="Arial Unicode MS" w:cs="Arial Unicode MS"/>
          <w:color w:val="000000"/>
          <w:sz w:val="20"/>
          <w:szCs w:val="20"/>
          <w:lang w:val="en-IN" w:bidi="hi-IN"/>
        </w:rPr>
      </w:pPr>
      <w:r w:rsidRPr="00E43310">
        <w:rPr>
          <w:rFonts w:ascii="Arial Unicode MS" w:eastAsia="Arial Unicode MS" w:hAnsi="Arial Unicode MS" w:cs="Arial Unicode MS"/>
          <w:color w:val="000000"/>
          <w:sz w:val="20"/>
          <w:szCs w:val="20"/>
          <w:lang w:val="en-IN" w:bidi="hi-IN"/>
        </w:rPr>
        <w:t xml:space="preserve">As evident, currently IIFCL’s liquidity coverage ratio is as per the regulatory limits of 85%. </w:t>
      </w:r>
    </w:p>
    <w:tbl>
      <w:tblPr>
        <w:tblW w:w="5000" w:type="pct"/>
        <w:tblLook w:val="04A0" w:firstRow="1" w:lastRow="0" w:firstColumn="1" w:lastColumn="0" w:noHBand="0" w:noVBand="1"/>
      </w:tblPr>
      <w:tblGrid>
        <w:gridCol w:w="474"/>
        <w:gridCol w:w="6291"/>
        <w:gridCol w:w="1228"/>
        <w:gridCol w:w="1023"/>
      </w:tblGrid>
      <w:tr w:rsidR="00596E7D" w:rsidRPr="00596E7D" w:rsidTr="00596E7D">
        <w:trPr>
          <w:trHeight w:val="293"/>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96E7D" w:rsidRPr="00596E7D" w:rsidRDefault="00596E7D" w:rsidP="00596E7D">
            <w:pPr>
              <w:jc w:val="center"/>
              <w:rPr>
                <w:rFonts w:ascii="Calibri" w:hAnsi="Calibri" w:cs="Calibri"/>
                <w:b/>
                <w:bCs/>
                <w:color w:val="000000"/>
                <w:lang w:val="en-IN" w:eastAsia="en-IN" w:bidi="hi-IN"/>
              </w:rPr>
            </w:pPr>
            <w:r w:rsidRPr="00596E7D">
              <w:rPr>
                <w:rFonts w:ascii="Calibri" w:hAnsi="Calibri" w:cs="Calibri"/>
                <w:b/>
                <w:bCs/>
                <w:color w:val="000000"/>
                <w:lang w:val="en-IN" w:eastAsia="en-IN" w:bidi="hi-IN"/>
              </w:rPr>
              <w:t>LCR Disclosure Template - Quarter ended Sept 2024</w:t>
            </w:r>
          </w:p>
        </w:tc>
      </w:tr>
      <w:tr w:rsidR="00596E7D" w:rsidRPr="00596E7D" w:rsidTr="00596E7D">
        <w:trPr>
          <w:trHeight w:val="408"/>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596E7D" w:rsidRPr="00596E7D" w:rsidRDefault="00596E7D" w:rsidP="00596E7D">
            <w:pPr>
              <w:rPr>
                <w:rFonts w:ascii="Calibri" w:hAnsi="Calibri" w:cs="Calibri"/>
                <w:b/>
                <w:bCs/>
                <w:color w:val="000000"/>
                <w:lang w:val="en-IN" w:eastAsia="en-IN" w:bidi="hi-IN"/>
              </w:rPr>
            </w:pPr>
          </w:p>
        </w:tc>
      </w:tr>
      <w:tr w:rsidR="00596E7D" w:rsidRPr="00596E7D" w:rsidTr="00596E7D">
        <w:trPr>
          <w:trHeight w:val="624"/>
        </w:trPr>
        <w:tc>
          <w:tcPr>
            <w:tcW w:w="37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center"/>
              <w:rPr>
                <w:rFonts w:ascii="Calibri" w:hAnsi="Calibri" w:cs="Calibri"/>
                <w:color w:val="000000"/>
                <w:lang w:val="en-IN" w:eastAsia="en-IN" w:bidi="hi-IN"/>
              </w:rPr>
            </w:pPr>
            <w:r w:rsidRPr="00596E7D">
              <w:rPr>
                <w:rFonts w:ascii="Calibri" w:hAnsi="Calibri" w:cs="Calibri"/>
                <w:color w:val="000000"/>
                <w:lang w:val="en-IN" w:eastAsia="en-IN" w:bidi="hi-IN"/>
              </w:rPr>
              <w:t>INR in Crore</w:t>
            </w:r>
          </w:p>
        </w:tc>
        <w:tc>
          <w:tcPr>
            <w:tcW w:w="681" w:type="pct"/>
            <w:tcBorders>
              <w:top w:val="nil"/>
              <w:left w:val="nil"/>
              <w:bottom w:val="single" w:sz="4" w:space="0" w:color="auto"/>
              <w:right w:val="single" w:sz="4" w:space="0" w:color="auto"/>
            </w:tcBorders>
            <w:shd w:val="clear" w:color="auto" w:fill="auto"/>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Unweighted Value (average)</w:t>
            </w:r>
          </w:p>
        </w:tc>
        <w:tc>
          <w:tcPr>
            <w:tcW w:w="567" w:type="pct"/>
            <w:tcBorders>
              <w:top w:val="nil"/>
              <w:left w:val="nil"/>
              <w:bottom w:val="single" w:sz="4" w:space="0" w:color="auto"/>
              <w:right w:val="single" w:sz="4" w:space="0" w:color="auto"/>
            </w:tcBorders>
            <w:shd w:val="clear" w:color="auto" w:fill="auto"/>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Weighted Value (average)</w:t>
            </w:r>
          </w:p>
        </w:tc>
      </w:tr>
      <w:tr w:rsidR="00596E7D" w:rsidRPr="00596E7D" w:rsidTr="00596E7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High Quality Liquid Assets</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**Total High Quality Liquid Asset (HQLA)</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2077.20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2077.2</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2A</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Corporate Bonds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2B</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Total HQLA</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2077.20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r>
      <w:tr w:rsidR="00596E7D" w:rsidRPr="00596E7D" w:rsidTr="00596E7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Cash Outflows</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Deposits (for deposit taking Companies)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3</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Unsecured wholesale funding</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4</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Secured wholesale funding</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4494.82</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5169.04</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5</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Addition requirements, of which</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w:t>
            </w:r>
            <w:proofErr w:type="spellStart"/>
            <w:r w:rsidRPr="00596E7D">
              <w:rPr>
                <w:rFonts w:ascii="Calibri" w:hAnsi="Calibri" w:cs="Calibri"/>
                <w:color w:val="000000"/>
                <w:lang w:val="en-IN" w:eastAsia="en-IN" w:bidi="hi-IN"/>
              </w:rPr>
              <w:t>i</w:t>
            </w:r>
            <w:proofErr w:type="spellEnd"/>
            <w:r w:rsidRPr="00596E7D">
              <w:rPr>
                <w:rFonts w:ascii="Calibri" w:hAnsi="Calibri" w:cs="Calibri"/>
                <w:color w:val="000000"/>
                <w:lang w:val="en-IN" w:eastAsia="en-IN" w:bidi="hi-IN"/>
              </w:rPr>
              <w:t>)</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Outflows related to derivative exposures and other collateral requirements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(ii)</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Outflows related to loss of funding on debt products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(iii)</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Credit and liquidity facilities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1500.00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1725.00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6</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Other Contractual funding obligations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167.11</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192.18</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7</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Other contingent funding obligations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0.00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8</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Cash Outflows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6161.93</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7086.22</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r>
      <w:tr w:rsidR="00596E7D" w:rsidRPr="00596E7D" w:rsidTr="00596E7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Cash Inflows</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9</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Secured Lending</w:t>
            </w:r>
            <w:bookmarkStart w:id="13" w:name="_GoBack"/>
            <w:bookmarkEnd w:id="13"/>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 </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0</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10</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Inflows from fully performing exposures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82.19</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61.6425</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11</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color w:val="000000"/>
                <w:lang w:val="en-IN" w:eastAsia="en-IN" w:bidi="hi-IN"/>
              </w:rPr>
            </w:pPr>
            <w:r w:rsidRPr="00596E7D">
              <w:rPr>
                <w:rFonts w:ascii="Calibri" w:hAnsi="Calibri" w:cs="Calibri"/>
                <w:color w:val="000000"/>
                <w:lang w:val="en-IN" w:eastAsia="en-IN" w:bidi="hi-IN"/>
              </w:rPr>
              <w:t>Other Cash inflows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6505.54</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4879.155</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12</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Cash Inflows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6587.73</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4940.80</w:t>
            </w:r>
          </w:p>
        </w:tc>
      </w:tr>
      <w:tr w:rsidR="00596E7D" w:rsidRPr="00596E7D" w:rsidTr="00596E7D">
        <w:trPr>
          <w:trHeight w:val="312"/>
        </w:trPr>
        <w:tc>
          <w:tcPr>
            <w:tcW w:w="5000" w:type="pct"/>
            <w:gridSpan w:val="4"/>
            <w:tcBorders>
              <w:top w:val="nil"/>
              <w:left w:val="single" w:sz="4" w:space="0" w:color="auto"/>
              <w:bottom w:val="single" w:sz="4" w:space="0" w:color="auto"/>
              <w:right w:val="single" w:sz="4" w:space="0" w:color="000000"/>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Adjusted Value</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13</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HQLA</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2077.20</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2077.2</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14</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Total Net Cash Outflows</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2145.42</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2145.42</w:t>
            </w:r>
          </w:p>
        </w:tc>
      </w:tr>
      <w:tr w:rsidR="00596E7D" w:rsidRPr="00596E7D" w:rsidTr="00596E7D">
        <w:trPr>
          <w:trHeight w:val="312"/>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15</w:t>
            </w:r>
          </w:p>
        </w:tc>
        <w:tc>
          <w:tcPr>
            <w:tcW w:w="3489"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rPr>
                <w:rFonts w:ascii="Calibri" w:hAnsi="Calibri" w:cs="Calibri"/>
                <w:b/>
                <w:bCs/>
                <w:color w:val="000000"/>
                <w:lang w:val="en-IN" w:eastAsia="en-IN" w:bidi="hi-IN"/>
              </w:rPr>
            </w:pPr>
            <w:r w:rsidRPr="00596E7D">
              <w:rPr>
                <w:rFonts w:ascii="Calibri" w:hAnsi="Calibri" w:cs="Calibri"/>
                <w:b/>
                <w:bCs/>
                <w:color w:val="000000"/>
                <w:lang w:val="en-IN" w:eastAsia="en-IN" w:bidi="hi-IN"/>
              </w:rPr>
              <w:t>Liquidity Coverage Ratio(%)</w:t>
            </w:r>
          </w:p>
        </w:tc>
        <w:tc>
          <w:tcPr>
            <w:tcW w:w="681"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96.82</w:t>
            </w:r>
          </w:p>
        </w:tc>
        <w:tc>
          <w:tcPr>
            <w:tcW w:w="567" w:type="pct"/>
            <w:tcBorders>
              <w:top w:val="nil"/>
              <w:left w:val="nil"/>
              <w:bottom w:val="single" w:sz="4" w:space="0" w:color="auto"/>
              <w:right w:val="single" w:sz="4" w:space="0" w:color="auto"/>
            </w:tcBorders>
            <w:shd w:val="clear" w:color="auto" w:fill="auto"/>
            <w:noWrap/>
            <w:vAlign w:val="bottom"/>
            <w:hideMark/>
          </w:tcPr>
          <w:p w:rsidR="00596E7D" w:rsidRPr="00596E7D" w:rsidRDefault="00596E7D" w:rsidP="00596E7D">
            <w:pPr>
              <w:jc w:val="right"/>
              <w:rPr>
                <w:rFonts w:ascii="Calibri" w:hAnsi="Calibri" w:cs="Calibri"/>
                <w:color w:val="000000"/>
                <w:lang w:val="en-IN" w:eastAsia="en-IN" w:bidi="hi-IN"/>
              </w:rPr>
            </w:pPr>
            <w:r w:rsidRPr="00596E7D">
              <w:rPr>
                <w:rFonts w:ascii="Calibri" w:hAnsi="Calibri" w:cs="Calibri"/>
                <w:color w:val="000000"/>
                <w:lang w:val="en-IN" w:eastAsia="en-IN" w:bidi="hi-IN"/>
              </w:rPr>
              <w:t>96.82</w:t>
            </w:r>
          </w:p>
        </w:tc>
      </w:tr>
    </w:tbl>
    <w:p w:rsidR="008A649D" w:rsidRDefault="00596E7D"/>
    <w:sectPr w:rsidR="008A6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591"/>
    <w:multiLevelType w:val="hybridMultilevel"/>
    <w:tmpl w:val="1196E588"/>
    <w:lvl w:ilvl="0" w:tplc="3E780014">
      <w:start w:val="1"/>
      <w:numFmt w:val="decimal"/>
      <w:lvlText w:val="%1."/>
      <w:lvlJc w:val="left"/>
      <w:pPr>
        <w:ind w:left="360" w:hanging="360"/>
      </w:pPr>
      <w:rPr>
        <w:rFonts w:hint="default"/>
        <w:b/>
        <w:bCs w:val="0"/>
      </w:rPr>
    </w:lvl>
    <w:lvl w:ilvl="1" w:tplc="57EEA3DA">
      <w:start w:val="1"/>
      <w:numFmt w:val="lowerLetter"/>
      <w:lvlText w:val="%2."/>
      <w:lvlJc w:val="left"/>
      <w:pPr>
        <w:ind w:left="1080" w:hanging="360"/>
      </w:pPr>
      <w:rPr>
        <w:b/>
        <w:bCs/>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D375A"/>
    <w:multiLevelType w:val="hybridMultilevel"/>
    <w:tmpl w:val="8B281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220E6D"/>
    <w:multiLevelType w:val="hybridMultilevel"/>
    <w:tmpl w:val="575264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80"/>
    <w:rsid w:val="00217280"/>
    <w:rsid w:val="00596E7D"/>
    <w:rsid w:val="00834C84"/>
    <w:rsid w:val="00A54E0D"/>
    <w:rsid w:val="00DF4DB8"/>
    <w:rsid w:val="00E61B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325D"/>
  <w15:chartTrackingRefBased/>
  <w15:docId w15:val="{1E05B80C-6278-423E-BBFE-19D0930B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B85"/>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E61B85"/>
    <w:pPr>
      <w:keepNext/>
      <w:jc w:val="both"/>
      <w:outlineLvl w:val="0"/>
    </w:pPr>
    <w:rPr>
      <w:rFonts w:ascii="Arial Unicode MS" w:eastAsia="Arial Unicode MS" w:hAnsi="Arial Unicode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B85"/>
    <w:rPr>
      <w:rFonts w:ascii="Arial Unicode MS" w:eastAsia="Arial Unicode MS" w:hAnsi="Arial Unicode MS" w:cs="Times New Roman"/>
      <w:b/>
      <w:sz w:val="20"/>
      <w:szCs w:val="24"/>
      <w:lang w:val="en-US" w:bidi="ar-SA"/>
    </w:rPr>
  </w:style>
  <w:style w:type="table" w:styleId="TableGrid">
    <w:name w:val="Table Grid"/>
    <w:basedOn w:val="TableNormal"/>
    <w:uiPriority w:val="59"/>
    <w:rsid w:val="00E61B85"/>
    <w:pPr>
      <w:spacing w:after="0" w:line="240" w:lineRule="auto"/>
    </w:pPr>
    <w:rPr>
      <w:rFonts w:ascii="Times New Roman" w:eastAsia="MS Mincho"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Bullets,bullets,Heading 91,List Paragraph1,Heading 911,heading 9,Heading 9111,Heading 91111,Heading 92,Heading 93,Heading 94,Heading 95,Heading 911111,WinDForce-Letter,List Paragraph2,Bullet 05,Heading 9111111,Report Para,in,1st"/>
    <w:basedOn w:val="Normal"/>
    <w:link w:val="ListParagraphChar"/>
    <w:uiPriority w:val="34"/>
    <w:qFormat/>
    <w:rsid w:val="00E61B85"/>
    <w:pPr>
      <w:ind w:left="720"/>
    </w:pPr>
  </w:style>
  <w:style w:type="character" w:customStyle="1" w:styleId="ListParagraphChar">
    <w:name w:val="List Paragraph Char"/>
    <w:aliases w:val="Annexure Char,Bullets Char,bullets Char,Heading 91 Char,List Paragraph1 Char,Heading 911 Char,heading 9 Char,Heading 9111 Char,Heading 91111 Char,Heading 92 Char,Heading 93 Char,Heading 94 Char,Heading 95 Char,Heading 911111 Char"/>
    <w:link w:val="ListParagraph"/>
    <w:uiPriority w:val="34"/>
    <w:qFormat/>
    <w:locked/>
    <w:rsid w:val="00E61B85"/>
    <w:rPr>
      <w:rFonts w:ascii="Times New Roman" w:eastAsia="Times New Roman" w:hAnsi="Times New Roman" w:cs="Times New Roman"/>
      <w:sz w:val="24"/>
      <w:szCs w:val="24"/>
      <w:lang w:val="en-US" w:bidi="ar-SA"/>
    </w:rPr>
  </w:style>
  <w:style w:type="paragraph" w:customStyle="1" w:styleId="Default">
    <w:name w:val="Default"/>
    <w:rsid w:val="00E61B85"/>
    <w:pPr>
      <w:autoSpaceDE w:val="0"/>
      <w:autoSpaceDN w:val="0"/>
      <w:adjustRightInd w:val="0"/>
      <w:spacing w:after="0" w:line="240" w:lineRule="auto"/>
    </w:pPr>
    <w:rPr>
      <w:rFonts w:ascii="Arial" w:eastAsia="Times New Roman"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3380">
      <w:bodyDiv w:val="1"/>
      <w:marLeft w:val="0"/>
      <w:marRight w:val="0"/>
      <w:marTop w:val="0"/>
      <w:marBottom w:val="0"/>
      <w:divBdr>
        <w:top w:val="none" w:sz="0" w:space="0" w:color="auto"/>
        <w:left w:val="none" w:sz="0" w:space="0" w:color="auto"/>
        <w:bottom w:val="none" w:sz="0" w:space="0" w:color="auto"/>
        <w:right w:val="none" w:sz="0" w:space="0" w:color="auto"/>
      </w:divBdr>
    </w:div>
    <w:div w:id="1193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10000136</dc:creator>
  <cp:keywords/>
  <dc:description/>
  <cp:lastModifiedBy>10000136</cp:lastModifiedBy>
  <cp:revision>3</cp:revision>
  <dcterms:created xsi:type="dcterms:W3CDTF">2024-10-17T05:28:00Z</dcterms:created>
  <dcterms:modified xsi:type="dcterms:W3CDTF">2024-11-06T04:50:00Z</dcterms:modified>
</cp:coreProperties>
</file>